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652B" w14:textId="48D2AECC" w:rsidR="008E68C8" w:rsidRPr="00060C1C" w:rsidRDefault="0007643B" w:rsidP="00CA38A4">
      <w:pPr>
        <w:jc w:val="center"/>
        <w:rPr>
          <w:rFonts w:asciiTheme="minorHAnsi" w:hAnsiTheme="minorHAnsi" w:cstheme="minorHAnsi"/>
          <w:b/>
          <w:sz w:val="32"/>
          <w:szCs w:val="32"/>
        </w:rPr>
      </w:pPr>
      <w:r>
        <w:rPr>
          <w:rFonts w:asciiTheme="minorHAnsi" w:hAnsiTheme="minorHAnsi" w:cstheme="minorHAnsi"/>
          <w:b/>
          <w:sz w:val="32"/>
          <w:szCs w:val="32"/>
        </w:rPr>
        <w:t xml:space="preserve">Protocol:  </w:t>
      </w:r>
      <w:r w:rsidR="00587F25">
        <w:rPr>
          <w:rFonts w:asciiTheme="minorHAnsi" w:hAnsiTheme="minorHAnsi" w:cstheme="minorHAnsi"/>
          <w:b/>
          <w:sz w:val="32"/>
          <w:szCs w:val="32"/>
        </w:rPr>
        <w:t>Promotion of Vaginal Delivery (PVD)</w:t>
      </w:r>
      <w:r w:rsidR="00B42F18">
        <w:rPr>
          <w:rFonts w:asciiTheme="minorHAnsi" w:hAnsiTheme="minorHAnsi" w:cstheme="minorHAnsi"/>
          <w:b/>
          <w:sz w:val="32"/>
          <w:szCs w:val="32"/>
        </w:rPr>
        <w:t>:</w:t>
      </w:r>
    </w:p>
    <w:p w14:paraId="496C114A" w14:textId="77777777" w:rsidR="008E68C8" w:rsidRPr="00060C1C" w:rsidRDefault="008E68C8" w:rsidP="008E68C8">
      <w:pPr>
        <w:jc w:val="center"/>
        <w:rPr>
          <w:rFonts w:asciiTheme="minorHAnsi" w:hAnsiTheme="minorHAnsi" w:cstheme="minorHAnsi"/>
          <w:b/>
          <w:sz w:val="32"/>
          <w:szCs w:val="32"/>
        </w:rPr>
      </w:pPr>
      <w:r w:rsidRPr="00060C1C">
        <w:rPr>
          <w:rFonts w:asciiTheme="minorHAnsi" w:hAnsiTheme="minorHAnsi" w:cstheme="minorHAnsi"/>
          <w:b/>
          <w:sz w:val="32"/>
          <w:szCs w:val="32"/>
        </w:rPr>
        <w:t>Optimizing Obstetric</w:t>
      </w:r>
      <w:r w:rsidR="0082488F">
        <w:rPr>
          <w:rFonts w:asciiTheme="minorHAnsi" w:hAnsiTheme="minorHAnsi" w:cstheme="minorHAnsi"/>
          <w:b/>
          <w:sz w:val="32"/>
          <w:szCs w:val="32"/>
        </w:rPr>
        <w:t>al</w:t>
      </w:r>
      <w:r w:rsidRPr="00060C1C">
        <w:rPr>
          <w:rFonts w:asciiTheme="minorHAnsi" w:hAnsiTheme="minorHAnsi" w:cstheme="minorHAnsi"/>
          <w:b/>
          <w:sz w:val="32"/>
          <w:szCs w:val="32"/>
        </w:rPr>
        <w:t xml:space="preserve"> </w:t>
      </w:r>
      <w:r w:rsidR="00B42F18">
        <w:rPr>
          <w:rFonts w:asciiTheme="minorHAnsi" w:hAnsiTheme="minorHAnsi" w:cstheme="minorHAnsi"/>
          <w:b/>
          <w:sz w:val="32"/>
          <w:szCs w:val="32"/>
        </w:rPr>
        <w:t>Care</w:t>
      </w:r>
    </w:p>
    <w:p w14:paraId="51E028A9" w14:textId="77777777" w:rsidR="008E68C8" w:rsidRPr="00060C1C" w:rsidRDefault="008E68C8" w:rsidP="008E68C8">
      <w:pPr>
        <w:jc w:val="center"/>
        <w:rPr>
          <w:rFonts w:asciiTheme="minorHAnsi" w:hAnsiTheme="minorHAnsi" w:cstheme="minorHAnsi"/>
          <w:color w:val="666666"/>
          <w:sz w:val="20"/>
          <w:szCs w:val="20"/>
          <w:lang w:val="en"/>
        </w:rPr>
      </w:pPr>
      <w:r w:rsidRPr="00060C1C">
        <w:rPr>
          <w:rFonts w:asciiTheme="minorHAnsi" w:hAnsiTheme="minorHAnsi" w:cstheme="minorHAnsi"/>
        </w:rPr>
        <w:t xml:space="preserve">In Association with The American College of Obstetricians and Gynecologists’ </w:t>
      </w:r>
      <w:r w:rsidRPr="00060C1C">
        <w:rPr>
          <w:rFonts w:asciiTheme="minorHAnsi" w:hAnsiTheme="minorHAnsi" w:cstheme="minorHAnsi"/>
          <w:color w:val="666666"/>
          <w:sz w:val="20"/>
          <w:szCs w:val="20"/>
          <w:lang w:val="en"/>
        </w:rPr>
        <w:t xml:space="preserve">(ACOG) </w:t>
      </w:r>
    </w:p>
    <w:p w14:paraId="1F84C100" w14:textId="661431AC" w:rsidR="008E68C8" w:rsidRDefault="008E68C8" w:rsidP="008E68C8">
      <w:pPr>
        <w:jc w:val="center"/>
        <w:rPr>
          <w:rFonts w:asciiTheme="minorHAnsi" w:hAnsiTheme="minorHAnsi" w:cstheme="minorHAnsi"/>
        </w:rPr>
      </w:pPr>
      <w:r w:rsidRPr="00060C1C">
        <w:rPr>
          <w:rFonts w:asciiTheme="minorHAnsi" w:hAnsiTheme="minorHAnsi" w:cstheme="minorHAnsi"/>
        </w:rPr>
        <w:t xml:space="preserve">Alliance for Innovation in Maternal Health </w:t>
      </w:r>
      <w:r w:rsidRPr="0082488F">
        <w:rPr>
          <w:rFonts w:asciiTheme="minorHAnsi" w:hAnsiTheme="minorHAnsi" w:cstheme="minorHAnsi"/>
          <w:color w:val="808080" w:themeColor="background1" w:themeShade="80"/>
          <w:sz w:val="20"/>
          <w:szCs w:val="20"/>
        </w:rPr>
        <w:t>(AIM)</w:t>
      </w:r>
      <w:r w:rsidR="00B42F18" w:rsidRPr="0082488F">
        <w:rPr>
          <w:rFonts w:asciiTheme="minorHAnsi" w:hAnsiTheme="minorHAnsi" w:cstheme="minorHAnsi"/>
          <w:color w:val="808080" w:themeColor="background1" w:themeShade="80"/>
        </w:rPr>
        <w:t xml:space="preserve"> </w:t>
      </w:r>
    </w:p>
    <w:p w14:paraId="42ECDC2A" w14:textId="77777777" w:rsidR="008E68C8" w:rsidRPr="008A627F" w:rsidRDefault="008E68C8" w:rsidP="008E68C8">
      <w:pPr>
        <w:jc w:val="center"/>
        <w:rPr>
          <w:rFonts w:asciiTheme="minorHAnsi" w:hAnsiTheme="minorHAnsi" w:cstheme="minorHAnsi"/>
          <w:b/>
        </w:rPr>
      </w:pPr>
    </w:p>
    <w:p w14:paraId="13C715D2" w14:textId="77777777" w:rsidR="008E68C8" w:rsidRPr="00C83CEB" w:rsidRDefault="008E68C8" w:rsidP="008E68C8">
      <w:pPr>
        <w:jc w:val="center"/>
        <w:rPr>
          <w:rFonts w:asciiTheme="minorHAnsi" w:hAnsiTheme="minorHAnsi" w:cstheme="minorHAnsi"/>
          <w:b/>
          <w:sz w:val="28"/>
        </w:rPr>
      </w:pPr>
      <w:r w:rsidRPr="00C83CEB">
        <w:rPr>
          <w:rFonts w:asciiTheme="minorHAnsi" w:hAnsiTheme="minorHAnsi" w:cstheme="minorHAnsi"/>
          <w:b/>
          <w:sz w:val="28"/>
        </w:rPr>
        <w:t>Tennessee Initiative for Perinatal Quality Care (TIPQC)</w:t>
      </w:r>
    </w:p>
    <w:p w14:paraId="579CD59B" w14:textId="77777777" w:rsidR="0082488F" w:rsidRDefault="008E68C8" w:rsidP="008E68C8">
      <w:pPr>
        <w:jc w:val="center"/>
        <w:rPr>
          <w:rFonts w:asciiTheme="minorHAnsi" w:hAnsiTheme="minorHAnsi" w:cstheme="minorHAnsi"/>
          <w:b/>
          <w:sz w:val="28"/>
        </w:rPr>
      </w:pPr>
      <w:r w:rsidRPr="00C83CEB">
        <w:rPr>
          <w:rFonts w:asciiTheme="minorHAnsi" w:hAnsiTheme="minorHAnsi" w:cstheme="minorHAnsi"/>
          <w:b/>
          <w:sz w:val="28"/>
        </w:rPr>
        <w:t>Inter-Institutional Quality Improvement Project</w:t>
      </w:r>
    </w:p>
    <w:p w14:paraId="704D9B82" w14:textId="2FC28E12" w:rsidR="002978B6" w:rsidRPr="00EF20E3" w:rsidRDefault="0082488F" w:rsidP="002978B6">
      <w:pPr>
        <w:jc w:val="center"/>
        <w:rPr>
          <w:rFonts w:asciiTheme="minorHAnsi" w:hAnsiTheme="minorHAnsi" w:cstheme="minorHAnsi"/>
          <w:b/>
          <w:sz w:val="28"/>
          <w:szCs w:val="28"/>
        </w:rPr>
      </w:pPr>
      <w:r>
        <w:rPr>
          <w:rFonts w:asciiTheme="minorHAnsi" w:hAnsiTheme="minorHAnsi" w:cstheme="minorHAnsi"/>
          <w:b/>
          <w:noProof/>
        </w:rPr>
        <w:drawing>
          <wp:inline distT="0" distB="0" distL="0" distR="0" wp14:anchorId="0F094DAF" wp14:editId="72F5EE11">
            <wp:extent cx="1457325" cy="6250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27" cy="635394"/>
                    </a:xfrm>
                    <a:prstGeom prst="rect">
                      <a:avLst/>
                    </a:prstGeom>
                    <a:noFill/>
                  </pic:spPr>
                </pic:pic>
              </a:graphicData>
            </a:graphic>
          </wp:inline>
        </w:drawing>
      </w:r>
    </w:p>
    <w:p w14:paraId="51CED5DD" w14:textId="6C53CE79" w:rsidR="008E68C8" w:rsidRPr="007003D4" w:rsidRDefault="002978B6" w:rsidP="002978B6">
      <w:pPr>
        <w:jc w:val="center"/>
        <w:rPr>
          <w:b/>
        </w:rPr>
      </w:pPr>
      <w:r w:rsidRPr="00EF20E3">
        <w:rPr>
          <w:rFonts w:asciiTheme="minorHAnsi" w:hAnsiTheme="minorHAnsi" w:cstheme="minorHAnsi"/>
        </w:rPr>
        <w:t>Funded under a grant from the Tennessee Department of Health (TDH</w:t>
      </w:r>
    </w:p>
    <w:p w14:paraId="06EF535C" w14:textId="57552D3A" w:rsidR="008E68C8" w:rsidRDefault="008E68C8" w:rsidP="008E68C8">
      <w:pPr>
        <w:jc w:val="center"/>
      </w:pPr>
    </w:p>
    <w:p w14:paraId="79B4DF1C" w14:textId="2AE03B98" w:rsidR="00253296" w:rsidRDefault="00253296" w:rsidP="008E68C8">
      <w:pPr>
        <w:jc w:val="center"/>
      </w:pPr>
    </w:p>
    <w:p w14:paraId="775B0AF6" w14:textId="77777777" w:rsidR="00253296" w:rsidRPr="00EA6DD1" w:rsidRDefault="00253296" w:rsidP="008E68C8">
      <w:pPr>
        <w:jc w:val="center"/>
      </w:pPr>
    </w:p>
    <w:p w14:paraId="265D9C42" w14:textId="77777777" w:rsidR="008E68C8" w:rsidRPr="00EA6DD1" w:rsidRDefault="008E68C8" w:rsidP="008E68C8">
      <w:pPr>
        <w:jc w:val="center"/>
        <w:rPr>
          <w:rFonts w:asciiTheme="minorHAnsi" w:hAnsiTheme="minorHAnsi" w:cstheme="minorHAnsi"/>
          <w:b/>
          <w:u w:val="single"/>
        </w:rPr>
      </w:pPr>
      <w:r w:rsidRPr="00EA6DD1">
        <w:rPr>
          <w:rFonts w:asciiTheme="minorHAnsi" w:hAnsiTheme="minorHAnsi" w:cstheme="minorHAnsi"/>
          <w:b/>
          <w:u w:val="single"/>
        </w:rPr>
        <w:t>Project Development Team Leaders</w:t>
      </w:r>
    </w:p>
    <w:p w14:paraId="7F92C4FB" w14:textId="77777777" w:rsidR="009F164C" w:rsidRPr="00EA6DD1" w:rsidRDefault="009F164C" w:rsidP="005F7C4A">
      <w:pPr>
        <w:rPr>
          <w:rFonts w:asciiTheme="minorHAnsi" w:hAnsiTheme="minorHAnsi" w:cstheme="minorHAnsi"/>
          <w:b/>
          <w:u w:val="single"/>
        </w:rPr>
      </w:pPr>
    </w:p>
    <w:p w14:paraId="2158F811" w14:textId="64AA91BD" w:rsidR="009F164C" w:rsidRPr="00EA6DD1" w:rsidRDefault="009F164C" w:rsidP="009F164C">
      <w:pPr>
        <w:jc w:val="center"/>
        <w:outlineLvl w:val="0"/>
        <w:rPr>
          <w:rFonts w:asciiTheme="minorHAnsi" w:hAnsiTheme="minorHAnsi" w:cstheme="minorHAnsi"/>
        </w:rPr>
      </w:pPr>
      <w:r w:rsidRPr="00EA6DD1">
        <w:rPr>
          <w:rFonts w:asciiTheme="minorHAnsi" w:hAnsiTheme="minorHAnsi" w:cstheme="minorHAnsi"/>
        </w:rPr>
        <w:t>Danielle Tate, MD</w:t>
      </w:r>
      <w:r w:rsidR="00DE3514" w:rsidRPr="00EA6DD1">
        <w:rPr>
          <w:rFonts w:asciiTheme="minorHAnsi" w:hAnsiTheme="minorHAnsi" w:cstheme="minorHAnsi"/>
        </w:rPr>
        <w:t>, MFM</w:t>
      </w:r>
    </w:p>
    <w:p w14:paraId="128A7F34" w14:textId="5EA4F228" w:rsidR="009F164C" w:rsidRPr="00EA6DD1" w:rsidRDefault="009F164C" w:rsidP="009F164C">
      <w:pPr>
        <w:jc w:val="center"/>
        <w:outlineLvl w:val="0"/>
        <w:rPr>
          <w:rFonts w:asciiTheme="minorHAnsi" w:hAnsiTheme="minorHAnsi" w:cstheme="minorHAnsi"/>
        </w:rPr>
      </w:pPr>
      <w:r w:rsidRPr="00EA6DD1">
        <w:rPr>
          <w:rFonts w:asciiTheme="minorHAnsi" w:hAnsiTheme="minorHAnsi" w:cstheme="minorHAnsi"/>
        </w:rPr>
        <w:t>State Project Leader &amp; TIPQC Maternal Medical Director</w:t>
      </w:r>
    </w:p>
    <w:p w14:paraId="78EAC8A9" w14:textId="77777777" w:rsidR="009F164C" w:rsidRPr="00EA6DD1" w:rsidRDefault="009F164C" w:rsidP="009F164C">
      <w:pPr>
        <w:jc w:val="center"/>
        <w:outlineLvl w:val="0"/>
        <w:rPr>
          <w:rFonts w:asciiTheme="minorHAnsi" w:hAnsiTheme="minorHAnsi" w:cstheme="minorHAnsi"/>
        </w:rPr>
      </w:pPr>
    </w:p>
    <w:p w14:paraId="6DE6D99C" w14:textId="4A25430F" w:rsidR="008E68C8" w:rsidRPr="00EA6DD1" w:rsidRDefault="00B42F18" w:rsidP="009F164C">
      <w:pPr>
        <w:jc w:val="center"/>
        <w:outlineLvl w:val="0"/>
        <w:rPr>
          <w:rFonts w:asciiTheme="minorHAnsi" w:hAnsiTheme="minorHAnsi" w:cstheme="minorHAnsi"/>
        </w:rPr>
      </w:pPr>
      <w:r w:rsidRPr="00EA6DD1">
        <w:rPr>
          <w:rFonts w:asciiTheme="minorHAnsi" w:hAnsiTheme="minorHAnsi" w:cstheme="minorHAnsi"/>
        </w:rPr>
        <w:t>Connie Graves</w:t>
      </w:r>
      <w:r w:rsidR="008E68C8" w:rsidRPr="00EA6DD1">
        <w:rPr>
          <w:rFonts w:asciiTheme="minorHAnsi" w:hAnsiTheme="minorHAnsi" w:cstheme="minorHAnsi"/>
        </w:rPr>
        <w:t xml:space="preserve">, MD, </w:t>
      </w:r>
      <w:r w:rsidRPr="00EA6DD1">
        <w:rPr>
          <w:rFonts w:asciiTheme="minorHAnsi" w:hAnsiTheme="minorHAnsi" w:cstheme="minorHAnsi"/>
        </w:rPr>
        <w:t>MFM</w:t>
      </w:r>
    </w:p>
    <w:p w14:paraId="4FE69A6E" w14:textId="7D6B678C" w:rsidR="008E68C8" w:rsidRPr="00EA6DD1" w:rsidRDefault="008E68C8" w:rsidP="009F164C">
      <w:pPr>
        <w:jc w:val="center"/>
        <w:outlineLvl w:val="0"/>
        <w:rPr>
          <w:rFonts w:asciiTheme="minorHAnsi" w:hAnsiTheme="minorHAnsi" w:cstheme="minorHAnsi"/>
        </w:rPr>
      </w:pPr>
      <w:r w:rsidRPr="00EA6DD1">
        <w:rPr>
          <w:rFonts w:asciiTheme="minorHAnsi" w:hAnsiTheme="minorHAnsi" w:cstheme="minorHAnsi"/>
        </w:rPr>
        <w:t xml:space="preserve">TIPQC State </w:t>
      </w:r>
      <w:r w:rsidR="00B42F18" w:rsidRPr="00EA6DD1">
        <w:rPr>
          <w:rFonts w:asciiTheme="minorHAnsi" w:hAnsiTheme="minorHAnsi" w:cstheme="minorHAnsi"/>
        </w:rPr>
        <w:t>HTN</w:t>
      </w:r>
      <w:r w:rsidRPr="00EA6DD1">
        <w:rPr>
          <w:rFonts w:asciiTheme="minorHAnsi" w:hAnsiTheme="minorHAnsi" w:cstheme="minorHAnsi"/>
        </w:rPr>
        <w:t xml:space="preserve"> Project</w:t>
      </w:r>
      <w:r w:rsidR="00B42F18" w:rsidRPr="00EA6DD1">
        <w:rPr>
          <w:rFonts w:asciiTheme="minorHAnsi" w:hAnsiTheme="minorHAnsi" w:cstheme="minorHAnsi"/>
        </w:rPr>
        <w:t xml:space="preserve"> Co-</w:t>
      </w:r>
      <w:r w:rsidRPr="00EA6DD1">
        <w:rPr>
          <w:rFonts w:asciiTheme="minorHAnsi" w:hAnsiTheme="minorHAnsi" w:cstheme="minorHAnsi"/>
        </w:rPr>
        <w:t>Leader</w:t>
      </w:r>
    </w:p>
    <w:p w14:paraId="6B1F7B5C" w14:textId="77777777" w:rsidR="00B42F18" w:rsidRPr="00EA6DD1" w:rsidRDefault="00B42F18" w:rsidP="00C70778">
      <w:pPr>
        <w:jc w:val="center"/>
        <w:rPr>
          <w:rFonts w:asciiTheme="minorHAnsi" w:hAnsiTheme="minorHAnsi" w:cstheme="minorHAnsi"/>
        </w:rPr>
      </w:pPr>
    </w:p>
    <w:p w14:paraId="31CC67C4" w14:textId="77777777" w:rsidR="008E2E2F" w:rsidRPr="00EA6DD1" w:rsidRDefault="008E2E2F" w:rsidP="00C70778">
      <w:pPr>
        <w:jc w:val="center"/>
        <w:rPr>
          <w:rFonts w:asciiTheme="minorHAnsi" w:hAnsiTheme="minorHAnsi" w:cstheme="minorHAnsi"/>
        </w:rPr>
      </w:pPr>
      <w:r w:rsidRPr="00EA6DD1">
        <w:rPr>
          <w:rFonts w:asciiTheme="minorHAnsi" w:hAnsiTheme="minorHAnsi" w:cstheme="minorHAnsi"/>
        </w:rPr>
        <w:t>Bonnie Miller, MSN, RN</w:t>
      </w:r>
    </w:p>
    <w:p w14:paraId="09B5A10C" w14:textId="57A1F400" w:rsidR="008E2E2F" w:rsidRDefault="008E2E2F" w:rsidP="00C70778">
      <w:pPr>
        <w:jc w:val="center"/>
        <w:rPr>
          <w:rFonts w:asciiTheme="minorHAnsi" w:hAnsiTheme="minorHAnsi" w:cstheme="minorHAnsi"/>
        </w:rPr>
      </w:pPr>
      <w:r w:rsidRPr="00EA6DD1">
        <w:rPr>
          <w:rFonts w:asciiTheme="minorHAnsi" w:hAnsiTheme="minorHAnsi" w:cstheme="minorHAnsi"/>
        </w:rPr>
        <w:t>TIPQC Maternal Quality Improvement Specialist</w:t>
      </w:r>
    </w:p>
    <w:p w14:paraId="7B1A9BBB" w14:textId="46D55F2D" w:rsidR="00093BFD" w:rsidRDefault="00093BFD" w:rsidP="00C70778">
      <w:pPr>
        <w:jc w:val="center"/>
        <w:rPr>
          <w:rFonts w:asciiTheme="minorHAnsi" w:hAnsiTheme="minorHAnsi" w:cstheme="minorHAnsi"/>
        </w:rPr>
      </w:pPr>
    </w:p>
    <w:p w14:paraId="602A8992" w14:textId="77777777" w:rsidR="00093BFD" w:rsidRPr="00EA6DD1" w:rsidRDefault="00093BFD" w:rsidP="00093BFD">
      <w:pPr>
        <w:jc w:val="center"/>
        <w:outlineLvl w:val="0"/>
        <w:rPr>
          <w:rFonts w:asciiTheme="minorHAnsi" w:hAnsiTheme="minorHAnsi" w:cstheme="minorHAnsi"/>
        </w:rPr>
      </w:pPr>
      <w:r w:rsidRPr="00EA6DD1">
        <w:rPr>
          <w:rFonts w:asciiTheme="minorHAnsi" w:hAnsiTheme="minorHAnsi" w:cstheme="minorHAnsi"/>
        </w:rPr>
        <w:t>Brenda Barker, MEd, MBA</w:t>
      </w:r>
    </w:p>
    <w:p w14:paraId="5AECA259" w14:textId="77777777" w:rsidR="00093BFD" w:rsidRPr="00EA6DD1" w:rsidRDefault="00093BFD" w:rsidP="00093BFD">
      <w:pPr>
        <w:jc w:val="center"/>
        <w:rPr>
          <w:rFonts w:asciiTheme="minorHAnsi" w:hAnsiTheme="minorHAnsi" w:cstheme="minorHAnsi"/>
        </w:rPr>
      </w:pPr>
      <w:r w:rsidRPr="00EA6DD1">
        <w:rPr>
          <w:rFonts w:asciiTheme="minorHAnsi" w:hAnsiTheme="minorHAnsi" w:cstheme="minorHAnsi"/>
        </w:rPr>
        <w:t>TIPQC Executive Director</w:t>
      </w:r>
    </w:p>
    <w:p w14:paraId="431D07EC" w14:textId="77777777" w:rsidR="00093BFD" w:rsidRPr="00EA6DD1" w:rsidRDefault="00093BFD" w:rsidP="00093BFD">
      <w:pPr>
        <w:jc w:val="center"/>
        <w:rPr>
          <w:rFonts w:asciiTheme="minorHAnsi" w:hAnsiTheme="minorHAnsi" w:cstheme="minorHAnsi"/>
        </w:rPr>
      </w:pPr>
    </w:p>
    <w:p w14:paraId="4BC5CF89" w14:textId="77777777" w:rsidR="00093BFD" w:rsidRPr="00EA6DD1" w:rsidRDefault="00093BFD" w:rsidP="00093BFD">
      <w:pPr>
        <w:jc w:val="center"/>
        <w:outlineLvl w:val="0"/>
        <w:rPr>
          <w:rFonts w:asciiTheme="minorHAnsi" w:hAnsiTheme="minorHAnsi" w:cstheme="minorHAnsi"/>
        </w:rPr>
      </w:pPr>
      <w:r w:rsidRPr="00EA6DD1">
        <w:rPr>
          <w:rFonts w:asciiTheme="minorHAnsi" w:hAnsiTheme="minorHAnsi" w:cstheme="minorHAnsi"/>
        </w:rPr>
        <w:t>Theresa Scott, MS</w:t>
      </w:r>
    </w:p>
    <w:p w14:paraId="7EB79CB3" w14:textId="77777777" w:rsidR="00093BFD" w:rsidRPr="00EA6DD1" w:rsidRDefault="00093BFD" w:rsidP="00093BFD">
      <w:pPr>
        <w:jc w:val="center"/>
        <w:rPr>
          <w:rFonts w:asciiTheme="minorHAnsi" w:hAnsiTheme="minorHAnsi" w:cstheme="minorHAnsi"/>
        </w:rPr>
      </w:pPr>
      <w:r w:rsidRPr="00EA6DD1">
        <w:rPr>
          <w:rFonts w:asciiTheme="minorHAnsi" w:hAnsiTheme="minorHAnsi" w:cstheme="minorHAnsi"/>
        </w:rPr>
        <w:t>TIPQC Data Manager</w:t>
      </w:r>
    </w:p>
    <w:p w14:paraId="02B12023" w14:textId="77777777" w:rsidR="00093BFD" w:rsidRPr="00EA6DD1" w:rsidRDefault="00093BFD" w:rsidP="00C70778">
      <w:pPr>
        <w:jc w:val="center"/>
        <w:rPr>
          <w:rFonts w:asciiTheme="minorHAnsi" w:hAnsiTheme="minorHAnsi" w:cstheme="minorHAnsi"/>
        </w:rPr>
      </w:pPr>
    </w:p>
    <w:p w14:paraId="7033CFC5" w14:textId="77777777" w:rsidR="002A4241" w:rsidRPr="00132E85" w:rsidRDefault="008E2E2F" w:rsidP="002A4241">
      <w:pPr>
        <w:spacing w:before="120"/>
        <w:jc w:val="center"/>
        <w:rPr>
          <w:rFonts w:asciiTheme="minorHAnsi" w:hAnsiTheme="minorHAnsi" w:cstheme="minorHAnsi"/>
          <w:color w:val="FF0000"/>
          <w:sz w:val="22"/>
          <w:szCs w:val="22"/>
        </w:rPr>
      </w:pPr>
      <w:r w:rsidRPr="00EA6DD1">
        <w:rPr>
          <w:rFonts w:asciiTheme="minorHAnsi" w:hAnsiTheme="minorHAnsi" w:cstheme="minorHAnsi"/>
        </w:rPr>
        <w:t xml:space="preserve">  </w:t>
      </w:r>
      <w:r w:rsidR="002A4241" w:rsidRPr="00132E85">
        <w:rPr>
          <w:rFonts w:asciiTheme="minorHAnsi" w:hAnsiTheme="minorHAnsi" w:cstheme="minorHAnsi"/>
          <w:color w:val="FF0000"/>
          <w:sz w:val="22"/>
          <w:szCs w:val="22"/>
        </w:rPr>
        <w:t>Rolanda Lister, MD</w:t>
      </w:r>
    </w:p>
    <w:p w14:paraId="0EB6B866" w14:textId="77777777" w:rsidR="002A4241" w:rsidRPr="00132E85" w:rsidRDefault="002A4241" w:rsidP="002A4241">
      <w:pPr>
        <w:jc w:val="center"/>
        <w:rPr>
          <w:rFonts w:asciiTheme="minorHAnsi" w:hAnsiTheme="minorHAnsi" w:cstheme="minorHAnsi"/>
          <w:color w:val="FF0000"/>
        </w:rPr>
      </w:pPr>
      <w:r w:rsidRPr="00132E85">
        <w:rPr>
          <w:rFonts w:asciiTheme="minorHAnsi" w:hAnsiTheme="minorHAnsi" w:cstheme="minorHAnsi"/>
          <w:color w:val="FF0000"/>
          <w:sz w:val="22"/>
          <w:szCs w:val="22"/>
        </w:rPr>
        <w:t>TIPQC Health Equity Officer</w:t>
      </w:r>
    </w:p>
    <w:p w14:paraId="17F010D8" w14:textId="12CCD00A" w:rsidR="008E68C8" w:rsidRPr="00EA6DD1" w:rsidRDefault="008E68C8" w:rsidP="008E2E2F">
      <w:pPr>
        <w:rPr>
          <w:rFonts w:asciiTheme="minorHAnsi" w:hAnsiTheme="minorHAnsi" w:cstheme="minorHAnsi"/>
        </w:rPr>
      </w:pPr>
    </w:p>
    <w:p w14:paraId="6FC2ECE2" w14:textId="77777777" w:rsidR="00B42F18" w:rsidRPr="00EA6DD1" w:rsidRDefault="00B42F18" w:rsidP="00C70778">
      <w:pPr>
        <w:jc w:val="center"/>
        <w:rPr>
          <w:rFonts w:asciiTheme="minorHAnsi" w:hAnsiTheme="minorHAnsi" w:cstheme="minorHAnsi"/>
          <w:b/>
        </w:rPr>
      </w:pPr>
      <w:r w:rsidRPr="00EA6DD1">
        <w:rPr>
          <w:rFonts w:asciiTheme="minorHAnsi" w:hAnsiTheme="minorHAnsi" w:cstheme="minorHAnsi"/>
          <w:b/>
        </w:rPr>
        <w:t>Pilot Teams</w:t>
      </w:r>
    </w:p>
    <w:p w14:paraId="769A2197" w14:textId="2A6528D1" w:rsidR="00DF1ACD" w:rsidRPr="00EA6DD1" w:rsidRDefault="00DF1ACD" w:rsidP="00DF1ACD">
      <w:pPr>
        <w:jc w:val="center"/>
        <w:rPr>
          <w:rFonts w:asciiTheme="minorHAnsi" w:hAnsiTheme="minorHAnsi" w:cstheme="minorHAnsi"/>
        </w:rPr>
      </w:pPr>
      <w:r w:rsidRPr="00EA6DD1">
        <w:rPr>
          <w:rFonts w:asciiTheme="minorHAnsi" w:hAnsiTheme="minorHAnsi" w:cstheme="minorHAnsi"/>
        </w:rPr>
        <w:t>Ascension St. Thomas Midtown</w:t>
      </w:r>
    </w:p>
    <w:p w14:paraId="32970308" w14:textId="3A0CF1A3" w:rsidR="008E68C8" w:rsidRPr="00EA6DD1" w:rsidRDefault="00DF1ACD" w:rsidP="00DF1ACD">
      <w:pPr>
        <w:jc w:val="center"/>
        <w:rPr>
          <w:rFonts w:asciiTheme="minorHAnsi" w:hAnsiTheme="minorHAnsi" w:cstheme="minorHAnsi"/>
        </w:rPr>
      </w:pPr>
      <w:r w:rsidRPr="00EA6DD1">
        <w:rPr>
          <w:rFonts w:asciiTheme="minorHAnsi" w:hAnsiTheme="minorHAnsi" w:cstheme="minorHAnsi"/>
        </w:rPr>
        <w:t xml:space="preserve"> Ascension St Thomas Rutherford</w:t>
      </w:r>
    </w:p>
    <w:p w14:paraId="441A7CA0" w14:textId="05DB9858" w:rsidR="009F164C" w:rsidRPr="00EA6DD1" w:rsidRDefault="009F164C" w:rsidP="009F164C">
      <w:pPr>
        <w:jc w:val="center"/>
        <w:rPr>
          <w:rFonts w:asciiTheme="minorHAnsi" w:hAnsiTheme="minorHAnsi" w:cstheme="minorHAnsi"/>
        </w:rPr>
      </w:pPr>
      <w:r w:rsidRPr="00EA6DD1">
        <w:rPr>
          <w:rFonts w:asciiTheme="minorHAnsi" w:hAnsiTheme="minorHAnsi" w:cstheme="minorHAnsi"/>
        </w:rPr>
        <w:t>Baptist Memorial Hospital for Women</w:t>
      </w:r>
      <w:r w:rsidR="00DF1ACD" w:rsidRPr="00EA6DD1">
        <w:rPr>
          <w:rFonts w:asciiTheme="minorHAnsi" w:hAnsiTheme="minorHAnsi" w:cstheme="minorHAnsi"/>
        </w:rPr>
        <w:br/>
        <w:t>Centennial Medical Center</w:t>
      </w:r>
    </w:p>
    <w:p w14:paraId="472BD7A6" w14:textId="426C535F" w:rsidR="009F164C" w:rsidRDefault="009F164C" w:rsidP="009F164C">
      <w:pPr>
        <w:jc w:val="center"/>
        <w:rPr>
          <w:rFonts w:asciiTheme="minorHAnsi" w:hAnsiTheme="minorHAnsi" w:cstheme="minorHAnsi"/>
        </w:rPr>
      </w:pPr>
      <w:r w:rsidRPr="00EA6DD1">
        <w:rPr>
          <w:rFonts w:asciiTheme="minorHAnsi" w:hAnsiTheme="minorHAnsi" w:cstheme="minorHAnsi"/>
        </w:rPr>
        <w:t>Regional One Health Medical Center</w:t>
      </w:r>
    </w:p>
    <w:p w14:paraId="50C74CC9" w14:textId="5DDABF38" w:rsidR="00C45589" w:rsidRPr="00EA6DD1" w:rsidRDefault="00C45589" w:rsidP="009F164C">
      <w:pPr>
        <w:jc w:val="center"/>
        <w:rPr>
          <w:rFonts w:asciiTheme="minorHAnsi" w:hAnsiTheme="minorHAnsi" w:cstheme="minorHAnsi"/>
        </w:rPr>
      </w:pPr>
      <w:r>
        <w:rPr>
          <w:rFonts w:asciiTheme="minorHAnsi" w:hAnsiTheme="minorHAnsi" w:cstheme="minorHAnsi"/>
        </w:rPr>
        <w:t>Stonecrest Medical Center</w:t>
      </w:r>
    </w:p>
    <w:p w14:paraId="77FCC6C1" w14:textId="1D9ECF09" w:rsidR="009F164C" w:rsidRPr="00EA6DD1" w:rsidRDefault="009F164C" w:rsidP="009F164C">
      <w:pPr>
        <w:jc w:val="center"/>
        <w:rPr>
          <w:rFonts w:asciiTheme="minorHAnsi" w:hAnsiTheme="minorHAnsi" w:cstheme="minorHAnsi"/>
        </w:rPr>
      </w:pPr>
      <w:r w:rsidRPr="00EA6DD1">
        <w:rPr>
          <w:rFonts w:asciiTheme="minorHAnsi" w:hAnsiTheme="minorHAnsi" w:cstheme="minorHAnsi"/>
        </w:rPr>
        <w:t>University of Tennessee Medical Center in Knoxville</w:t>
      </w:r>
    </w:p>
    <w:p w14:paraId="76AEF53F" w14:textId="77777777" w:rsidR="008E68C8" w:rsidRPr="00EA6DD1" w:rsidRDefault="008E68C8" w:rsidP="008E68C8">
      <w:pPr>
        <w:jc w:val="center"/>
        <w:rPr>
          <w:rFonts w:asciiTheme="minorHAnsi" w:hAnsiTheme="minorHAnsi" w:cstheme="minorHAnsi"/>
        </w:rPr>
      </w:pPr>
    </w:p>
    <w:p w14:paraId="5B641529" w14:textId="77777777" w:rsidR="008E68C8" w:rsidRPr="00EA6DD1" w:rsidRDefault="008E68C8" w:rsidP="00A15003">
      <w:pPr>
        <w:jc w:val="center"/>
        <w:rPr>
          <w:rFonts w:asciiTheme="minorHAnsi" w:hAnsiTheme="minorHAnsi" w:cstheme="minorHAnsi"/>
          <w:b/>
          <w:color w:val="000000" w:themeColor="text1"/>
        </w:rPr>
      </w:pPr>
      <w:r w:rsidRPr="00EA6DD1">
        <w:rPr>
          <w:rFonts w:asciiTheme="minorHAnsi" w:hAnsiTheme="minorHAnsi" w:cstheme="minorHAnsi"/>
          <w:b/>
        </w:rPr>
        <w:t xml:space="preserve">EXECUTIVE </w:t>
      </w:r>
      <w:r w:rsidRPr="00EA6DD1">
        <w:rPr>
          <w:rFonts w:asciiTheme="minorHAnsi" w:hAnsiTheme="minorHAnsi" w:cstheme="minorHAnsi"/>
          <w:b/>
          <w:color w:val="000000" w:themeColor="text1"/>
        </w:rPr>
        <w:t>SUMMARY</w:t>
      </w:r>
    </w:p>
    <w:p w14:paraId="298CA92D" w14:textId="77777777" w:rsidR="008E68C8" w:rsidRPr="00EA6DD1" w:rsidRDefault="008E68C8" w:rsidP="00A15003">
      <w:pPr>
        <w:rPr>
          <w:rFonts w:asciiTheme="minorHAnsi" w:hAnsiTheme="minorHAnsi" w:cstheme="minorHAnsi"/>
          <w:i/>
          <w:iCs/>
          <w:color w:val="000000"/>
        </w:rPr>
      </w:pPr>
    </w:p>
    <w:p w14:paraId="1442F0AD" w14:textId="1A09A8F1" w:rsidR="008E68C8" w:rsidRPr="00EA6DD1" w:rsidRDefault="008E68C8" w:rsidP="00A15003">
      <w:pPr>
        <w:rPr>
          <w:rFonts w:asciiTheme="minorHAnsi" w:hAnsiTheme="minorHAnsi" w:cstheme="minorHAnsi"/>
          <w:color w:val="000000"/>
        </w:rPr>
      </w:pPr>
      <w:r w:rsidRPr="00EA6DD1">
        <w:rPr>
          <w:rFonts w:asciiTheme="minorHAnsi" w:hAnsiTheme="minorHAnsi" w:cstheme="minorHAnsi"/>
          <w:i/>
          <w:iCs/>
          <w:color w:val="000000"/>
        </w:rPr>
        <w:t xml:space="preserve">This Executive Summary </w:t>
      </w:r>
      <w:r w:rsidR="005624F9" w:rsidRPr="00EA6DD1">
        <w:rPr>
          <w:rFonts w:asciiTheme="minorHAnsi" w:hAnsiTheme="minorHAnsi" w:cstheme="minorHAnsi"/>
          <w:i/>
          <w:iCs/>
          <w:color w:val="000000"/>
        </w:rPr>
        <w:t xml:space="preserve">defines </w:t>
      </w:r>
      <w:r w:rsidRPr="00EA6DD1">
        <w:rPr>
          <w:rFonts w:asciiTheme="minorHAnsi" w:hAnsiTheme="minorHAnsi" w:cstheme="minorHAnsi"/>
          <w:i/>
          <w:iCs/>
          <w:color w:val="000000"/>
        </w:rPr>
        <w:t>the 5 W</w:t>
      </w:r>
      <w:r w:rsidR="00B42F18" w:rsidRPr="00EA6DD1">
        <w:rPr>
          <w:rFonts w:asciiTheme="minorHAnsi" w:hAnsiTheme="minorHAnsi" w:cstheme="minorHAnsi"/>
          <w:i/>
          <w:iCs/>
          <w:color w:val="000000"/>
        </w:rPr>
        <w:t>’</w:t>
      </w:r>
      <w:r w:rsidRPr="00EA6DD1">
        <w:rPr>
          <w:rFonts w:asciiTheme="minorHAnsi" w:hAnsiTheme="minorHAnsi" w:cstheme="minorHAnsi"/>
          <w:i/>
          <w:iCs/>
          <w:color w:val="000000"/>
        </w:rPr>
        <w:t xml:space="preserve">s </w:t>
      </w:r>
      <w:r w:rsidR="005624F9" w:rsidRPr="00EA6DD1">
        <w:rPr>
          <w:rFonts w:asciiTheme="minorHAnsi" w:hAnsiTheme="minorHAnsi" w:cstheme="minorHAnsi"/>
          <w:i/>
          <w:iCs/>
          <w:color w:val="000000"/>
        </w:rPr>
        <w:t>(and 1 H) of</w:t>
      </w:r>
      <w:r w:rsidRPr="00EA6DD1">
        <w:rPr>
          <w:rFonts w:asciiTheme="minorHAnsi" w:hAnsiTheme="minorHAnsi" w:cstheme="minorHAnsi"/>
          <w:i/>
          <w:iCs/>
          <w:color w:val="000000"/>
        </w:rPr>
        <w:t xml:space="preserve"> the TIPQC </w:t>
      </w:r>
      <w:r w:rsidR="005D0DC2" w:rsidRPr="00EA6DD1">
        <w:rPr>
          <w:rFonts w:asciiTheme="minorHAnsi" w:hAnsiTheme="minorHAnsi" w:cstheme="minorHAnsi"/>
          <w:i/>
          <w:iCs/>
          <w:color w:val="000000"/>
        </w:rPr>
        <w:t>“</w:t>
      </w:r>
      <w:r w:rsidR="00BB20EA" w:rsidRPr="00EA6DD1">
        <w:rPr>
          <w:rFonts w:asciiTheme="minorHAnsi" w:hAnsiTheme="minorHAnsi" w:cstheme="minorHAnsi"/>
          <w:i/>
          <w:iCs/>
          <w:color w:val="000000"/>
        </w:rPr>
        <w:t>Promotion of Vaginal Delivery (PVD)</w:t>
      </w:r>
      <w:r w:rsidR="005D0DC2" w:rsidRPr="00EA6DD1">
        <w:rPr>
          <w:rFonts w:asciiTheme="minorHAnsi" w:hAnsiTheme="minorHAnsi" w:cstheme="minorHAnsi"/>
          <w:i/>
          <w:iCs/>
          <w:color w:val="000000"/>
        </w:rPr>
        <w:t>: Optimizing Obstetri</w:t>
      </w:r>
      <w:r w:rsidR="00B42F18" w:rsidRPr="00EA6DD1">
        <w:rPr>
          <w:rFonts w:asciiTheme="minorHAnsi" w:hAnsiTheme="minorHAnsi" w:cstheme="minorHAnsi"/>
          <w:i/>
          <w:iCs/>
          <w:color w:val="000000"/>
        </w:rPr>
        <w:t>c</w:t>
      </w:r>
      <w:r w:rsidR="005D0DC2" w:rsidRPr="00EA6DD1">
        <w:rPr>
          <w:rFonts w:asciiTheme="minorHAnsi" w:hAnsiTheme="minorHAnsi" w:cstheme="minorHAnsi"/>
          <w:i/>
          <w:iCs/>
          <w:color w:val="000000"/>
        </w:rPr>
        <w:t xml:space="preserve"> Care”</w:t>
      </w:r>
      <w:r w:rsidRPr="00EA6DD1">
        <w:rPr>
          <w:rFonts w:asciiTheme="minorHAnsi" w:hAnsiTheme="minorHAnsi" w:cstheme="minorHAnsi"/>
          <w:i/>
          <w:iCs/>
          <w:color w:val="000000"/>
        </w:rPr>
        <w:t xml:space="preserve"> quality improvement (QI) project</w:t>
      </w:r>
      <w:r w:rsidR="007D2047" w:rsidRPr="00EA6DD1">
        <w:rPr>
          <w:rFonts w:asciiTheme="minorHAnsi" w:hAnsiTheme="minorHAnsi" w:cstheme="minorHAnsi"/>
          <w:i/>
          <w:iCs/>
          <w:color w:val="000000"/>
        </w:rPr>
        <w:t xml:space="preserve">. </w:t>
      </w:r>
      <w:r w:rsidR="00B42F18" w:rsidRPr="00EA6DD1">
        <w:rPr>
          <w:rFonts w:asciiTheme="minorHAnsi" w:hAnsiTheme="minorHAnsi" w:cstheme="minorHAnsi"/>
          <w:i/>
          <w:iCs/>
          <w:color w:val="000000"/>
        </w:rPr>
        <w:t xml:space="preserve">The </w:t>
      </w:r>
      <w:r w:rsidR="00BB20EA" w:rsidRPr="00EA6DD1">
        <w:rPr>
          <w:rFonts w:asciiTheme="minorHAnsi" w:hAnsiTheme="minorHAnsi" w:cstheme="minorHAnsi"/>
          <w:i/>
          <w:iCs/>
          <w:color w:val="000000"/>
        </w:rPr>
        <w:t xml:space="preserve">PVD </w:t>
      </w:r>
      <w:r w:rsidRPr="00EA6DD1">
        <w:rPr>
          <w:rFonts w:asciiTheme="minorHAnsi" w:hAnsiTheme="minorHAnsi" w:cstheme="minorHAnsi"/>
          <w:i/>
          <w:iCs/>
          <w:color w:val="000000"/>
        </w:rPr>
        <w:t>care aspects of the overall project</w:t>
      </w:r>
      <w:r w:rsidR="005624F9" w:rsidRPr="00EA6DD1">
        <w:rPr>
          <w:rFonts w:asciiTheme="minorHAnsi" w:hAnsiTheme="minorHAnsi" w:cstheme="minorHAnsi"/>
          <w:i/>
          <w:iCs/>
          <w:color w:val="000000"/>
        </w:rPr>
        <w:t xml:space="preserve"> are also described</w:t>
      </w:r>
      <w:r w:rsidRPr="00EA6DD1">
        <w:rPr>
          <w:rFonts w:asciiTheme="minorHAnsi" w:hAnsiTheme="minorHAnsi" w:cstheme="minorHAnsi"/>
          <w:i/>
          <w:iCs/>
          <w:color w:val="000000"/>
        </w:rPr>
        <w:t>.</w:t>
      </w:r>
    </w:p>
    <w:p w14:paraId="6717E1B4" w14:textId="77777777" w:rsidR="008E68C8" w:rsidRPr="00EA6DD1" w:rsidRDefault="008E68C8" w:rsidP="00A15003">
      <w:pPr>
        <w:rPr>
          <w:rFonts w:asciiTheme="minorHAnsi" w:hAnsiTheme="minorHAnsi" w:cstheme="minorHAnsi"/>
          <w:color w:val="000000"/>
        </w:rPr>
      </w:pPr>
    </w:p>
    <w:p w14:paraId="4E61C654" w14:textId="19E09EC6" w:rsidR="009F164C" w:rsidRPr="00EA6DD1" w:rsidRDefault="008E68C8" w:rsidP="009F164C">
      <w:pPr>
        <w:rPr>
          <w:rFonts w:asciiTheme="minorHAnsi" w:hAnsiTheme="minorHAnsi" w:cstheme="minorHAnsi"/>
          <w:iCs/>
          <w:color w:val="000000"/>
        </w:rPr>
      </w:pPr>
      <w:r w:rsidRPr="00EA6DD1">
        <w:rPr>
          <w:rFonts w:asciiTheme="minorHAnsi" w:hAnsiTheme="minorHAnsi" w:cstheme="minorHAnsi"/>
          <w:b/>
          <w:bCs/>
          <w:i/>
          <w:iCs/>
          <w:color w:val="000000"/>
          <w:u w:val="single"/>
        </w:rPr>
        <w:t>WHY</w:t>
      </w:r>
      <w:r w:rsidR="00797EFC" w:rsidRPr="00EA6DD1">
        <w:rPr>
          <w:rFonts w:asciiTheme="minorHAnsi" w:hAnsiTheme="minorHAnsi" w:cstheme="minorHAnsi"/>
          <w:b/>
          <w:bCs/>
          <w:i/>
          <w:iCs/>
          <w:color w:val="000000"/>
        </w:rPr>
        <w:t>:</w:t>
      </w:r>
      <w:r w:rsidRPr="00EA6DD1">
        <w:rPr>
          <w:rFonts w:asciiTheme="minorHAnsi" w:hAnsiTheme="minorHAnsi" w:cstheme="minorHAnsi"/>
          <w:b/>
          <w:bCs/>
          <w:i/>
          <w:iCs/>
          <w:color w:val="000000"/>
        </w:rPr>
        <w:t xml:space="preserve"> </w:t>
      </w:r>
      <w:r w:rsidRPr="00EA6DD1">
        <w:rPr>
          <w:rFonts w:asciiTheme="minorHAnsi" w:hAnsiTheme="minorHAnsi" w:cstheme="minorHAnsi"/>
          <w:iCs/>
          <w:color w:val="000000"/>
        </w:rPr>
        <w:t xml:space="preserve">Nationally, and throughout Tennessee (TN) there remain unmet needs for </w:t>
      </w:r>
      <w:r w:rsidR="007443D5" w:rsidRPr="00EA6DD1">
        <w:rPr>
          <w:rFonts w:asciiTheme="minorHAnsi" w:hAnsiTheme="minorHAnsi" w:cstheme="minorHAnsi"/>
          <w:iCs/>
        </w:rPr>
        <w:t xml:space="preserve">Nulliparous, Term, Singleton, and Vertex </w:t>
      </w:r>
      <w:r w:rsidR="007443D5" w:rsidRPr="00EA6DD1">
        <w:rPr>
          <w:rFonts w:asciiTheme="minorHAnsi" w:hAnsiTheme="minorHAnsi" w:cstheme="minorHAnsi"/>
          <w:iCs/>
          <w:color w:val="000000"/>
        </w:rPr>
        <w:t>(</w:t>
      </w:r>
      <w:r w:rsidR="00BB20EA" w:rsidRPr="00EA6DD1">
        <w:rPr>
          <w:rFonts w:asciiTheme="minorHAnsi" w:hAnsiTheme="minorHAnsi" w:cstheme="minorHAnsi"/>
          <w:iCs/>
          <w:color w:val="000000"/>
        </w:rPr>
        <w:t>NTSV</w:t>
      </w:r>
      <w:r w:rsidR="007443D5" w:rsidRPr="00EA6DD1">
        <w:rPr>
          <w:rFonts w:asciiTheme="minorHAnsi" w:hAnsiTheme="minorHAnsi" w:cstheme="minorHAnsi"/>
          <w:iCs/>
          <w:color w:val="000000"/>
        </w:rPr>
        <w:t>)</w:t>
      </w:r>
      <w:r w:rsidR="00BB20EA" w:rsidRPr="00EA6DD1">
        <w:rPr>
          <w:rFonts w:asciiTheme="minorHAnsi" w:hAnsiTheme="minorHAnsi" w:cstheme="minorHAnsi"/>
          <w:iCs/>
          <w:color w:val="000000"/>
        </w:rPr>
        <w:t xml:space="preserve"> </w:t>
      </w:r>
      <w:r w:rsidRPr="00EA6DD1">
        <w:rPr>
          <w:rFonts w:asciiTheme="minorHAnsi" w:hAnsiTheme="minorHAnsi" w:cstheme="minorHAnsi"/>
          <w:iCs/>
          <w:color w:val="000000"/>
        </w:rPr>
        <w:t>pregnant</w:t>
      </w:r>
      <w:r w:rsidR="00BB20EA" w:rsidRPr="00EA6DD1">
        <w:rPr>
          <w:rFonts w:asciiTheme="minorHAnsi" w:hAnsiTheme="minorHAnsi" w:cstheme="minorHAnsi"/>
          <w:iCs/>
          <w:color w:val="000000"/>
        </w:rPr>
        <w:t xml:space="preserve"> person</w:t>
      </w:r>
      <w:r w:rsidR="007D2047" w:rsidRPr="00EA6DD1">
        <w:rPr>
          <w:rFonts w:asciiTheme="minorHAnsi" w:hAnsiTheme="minorHAnsi" w:cstheme="minorHAnsi"/>
          <w:iCs/>
          <w:color w:val="000000"/>
        </w:rPr>
        <w:t xml:space="preserve">. </w:t>
      </w:r>
      <w:r w:rsidR="009F164C" w:rsidRPr="00EA6DD1">
        <w:rPr>
          <w:rFonts w:asciiTheme="minorHAnsi" w:hAnsiTheme="minorHAnsi" w:cstheme="minorHAnsi"/>
          <w:iCs/>
          <w:color w:val="000000"/>
        </w:rPr>
        <w:t>From 1998 to 2008, cesarean birth rates in the United States rose from 22% to 33% of all births, making it the nation’s most common hospital surgery</w:t>
      </w:r>
      <w:r w:rsidR="00BD1BD2">
        <w:rPr>
          <w:rFonts w:asciiTheme="minorHAnsi" w:hAnsiTheme="minorHAnsi" w:cstheme="minorHAnsi"/>
          <w:iCs/>
          <w:color w:val="000000"/>
        </w:rPr>
        <w:t xml:space="preserve"> [1]</w:t>
      </w:r>
      <w:r w:rsidR="009F164C" w:rsidRPr="00EA6DD1">
        <w:rPr>
          <w:rFonts w:asciiTheme="minorHAnsi" w:hAnsiTheme="minorHAnsi" w:cstheme="minorHAnsi"/>
          <w:iCs/>
          <w:color w:val="000000"/>
        </w:rPr>
        <w:t xml:space="preserve">. The extraordinary rise and remarkable variation in rates of cesarean birth create concern for both the quality and cost of maternity care. As well, the overuse of cesarean birth has proven to be a consistent barrier to providing high-value, high-quality maternity care. </w:t>
      </w:r>
    </w:p>
    <w:p w14:paraId="18027057" w14:textId="77777777" w:rsidR="009F164C" w:rsidRPr="00EA6DD1" w:rsidRDefault="009F164C" w:rsidP="009F164C">
      <w:pPr>
        <w:rPr>
          <w:rFonts w:asciiTheme="minorHAnsi" w:hAnsiTheme="minorHAnsi" w:cstheme="minorHAnsi"/>
          <w:iCs/>
          <w:color w:val="000000"/>
        </w:rPr>
      </w:pPr>
    </w:p>
    <w:p w14:paraId="1A3AB3D3" w14:textId="7B176D43" w:rsidR="008E68C8" w:rsidRPr="00EA6DD1" w:rsidRDefault="009F164C" w:rsidP="009F164C">
      <w:pPr>
        <w:rPr>
          <w:rFonts w:asciiTheme="minorHAnsi" w:hAnsiTheme="minorHAnsi" w:cstheme="minorHAnsi"/>
          <w:iCs/>
          <w:color w:val="000000"/>
        </w:rPr>
      </w:pPr>
      <w:r w:rsidRPr="00EA6DD1">
        <w:rPr>
          <w:rFonts w:asciiTheme="minorHAnsi" w:hAnsiTheme="minorHAnsi" w:cstheme="minorHAnsi"/>
          <w:iCs/>
          <w:color w:val="000000"/>
        </w:rPr>
        <w:t>Even though rates of primary and total cesarean birth have recently leveled, there was a rapid rise in cesarean birth rates from 1996 to 2011 specifically. Thirty states and the District of Columbia have Cesarean delivery rates for first-time mothers with low-risk deliveries that are above the Health People 2020 goal of 23.9%</w:t>
      </w:r>
      <w:r w:rsidR="00BD1BD2">
        <w:rPr>
          <w:rFonts w:asciiTheme="minorHAnsi" w:hAnsiTheme="minorHAnsi" w:cstheme="minorHAnsi"/>
          <w:iCs/>
          <w:color w:val="000000"/>
        </w:rPr>
        <w:t xml:space="preserve"> [2].</w:t>
      </w:r>
      <w:r w:rsidRPr="00EA6DD1">
        <w:rPr>
          <w:rFonts w:asciiTheme="minorHAnsi" w:hAnsiTheme="minorHAnsi" w:cstheme="minorHAnsi"/>
          <w:iCs/>
          <w:color w:val="000000"/>
        </w:rPr>
        <w:t xml:space="preserve"> Nationally, Tennessee is in the highest quartile of cesarean birth rates at 34.2%. [</w:t>
      </w:r>
      <w:r w:rsidR="00BD1BD2">
        <w:rPr>
          <w:rFonts w:asciiTheme="minorHAnsi" w:hAnsiTheme="minorHAnsi" w:cstheme="minorHAnsi"/>
          <w:iCs/>
          <w:color w:val="000000"/>
        </w:rPr>
        <w:t>3</w:t>
      </w:r>
      <w:r w:rsidRPr="00EA6DD1">
        <w:rPr>
          <w:rFonts w:asciiTheme="minorHAnsi" w:hAnsiTheme="minorHAnsi" w:cstheme="minorHAnsi"/>
          <w:iCs/>
          <w:color w:val="000000"/>
        </w:rPr>
        <w:t>]. Based on 2015-2019 Tennessee Department of Health Vital Statistics data, 75% of TN hospitals have a cesarean birth rate above 20% [</w:t>
      </w:r>
      <w:r w:rsidR="00BD1BD2">
        <w:rPr>
          <w:rFonts w:asciiTheme="minorHAnsi" w:hAnsiTheme="minorHAnsi" w:cstheme="minorHAnsi"/>
          <w:iCs/>
          <w:color w:val="000000"/>
        </w:rPr>
        <w:t>4</w:t>
      </w:r>
      <w:r w:rsidRPr="00EA6DD1">
        <w:rPr>
          <w:rFonts w:asciiTheme="minorHAnsi" w:hAnsiTheme="minorHAnsi" w:cstheme="minorHAnsi"/>
          <w:iCs/>
          <w:color w:val="000000"/>
        </w:rPr>
        <w:t xml:space="preserve">]. There is notable variation in cesarean birth rates among the birthing hospitals in Tennessee, with 31 percentage points separating the facilities with the highest and lowest cesarean rates, 42% versus 11%. According to </w:t>
      </w:r>
      <w:r w:rsidR="00605C36" w:rsidRPr="00EA6DD1">
        <w:rPr>
          <w:rFonts w:asciiTheme="minorHAnsi" w:hAnsiTheme="minorHAnsi" w:cstheme="minorHAnsi"/>
          <w:iCs/>
          <w:color w:val="000000"/>
        </w:rPr>
        <w:t>Leapfrog</w:t>
      </w:r>
      <w:r w:rsidRPr="00EA6DD1">
        <w:rPr>
          <w:rFonts w:asciiTheme="minorHAnsi" w:hAnsiTheme="minorHAnsi" w:cstheme="minorHAnsi"/>
          <w:iCs/>
          <w:color w:val="000000"/>
        </w:rPr>
        <w:t xml:space="preserve"> data [</w:t>
      </w:r>
      <w:r w:rsidR="00FA1BEE">
        <w:rPr>
          <w:rFonts w:asciiTheme="minorHAnsi" w:hAnsiTheme="minorHAnsi" w:cstheme="minorHAnsi"/>
          <w:iCs/>
          <w:color w:val="000000"/>
        </w:rPr>
        <w:t>5</w:t>
      </w:r>
      <w:r w:rsidR="00DF1ACD" w:rsidRPr="00EA6DD1">
        <w:rPr>
          <w:rFonts w:asciiTheme="minorHAnsi" w:hAnsiTheme="minorHAnsi" w:cstheme="minorHAnsi"/>
          <w:iCs/>
          <w:color w:val="000000"/>
        </w:rPr>
        <w:t>]</w:t>
      </w:r>
      <w:r w:rsidRPr="00EA6DD1">
        <w:rPr>
          <w:rFonts w:asciiTheme="minorHAnsi" w:hAnsiTheme="minorHAnsi" w:cstheme="minorHAnsi"/>
          <w:iCs/>
          <w:color w:val="000000"/>
        </w:rPr>
        <w:t>, the rate of cesarean births among nulliparous, term, singleton, vertex (NTSV) pregnancies range from 11% to 42% among responding TN birthing hospitals</w:t>
      </w:r>
      <w:r w:rsidR="00A66D94" w:rsidRPr="00EA6DD1">
        <w:rPr>
          <w:rFonts w:asciiTheme="minorHAnsi" w:hAnsiTheme="minorHAnsi" w:cstheme="minorHAnsi"/>
          <w:iCs/>
          <w:color w:val="000000"/>
        </w:rPr>
        <w:t>.</w:t>
      </w:r>
    </w:p>
    <w:p w14:paraId="66C4B48F" w14:textId="77777777" w:rsidR="00A66D94" w:rsidRPr="00EA6DD1" w:rsidRDefault="00A66D94" w:rsidP="009F164C">
      <w:pPr>
        <w:rPr>
          <w:rFonts w:asciiTheme="minorHAnsi" w:hAnsiTheme="minorHAnsi" w:cstheme="minorHAnsi"/>
          <w:iCs/>
          <w:color w:val="000000"/>
        </w:rPr>
      </w:pPr>
    </w:p>
    <w:p w14:paraId="1B1BC37B" w14:textId="4CC792AF" w:rsidR="00A66D94" w:rsidRPr="00EA6DD1" w:rsidRDefault="00A66D94" w:rsidP="009F164C">
      <w:pPr>
        <w:rPr>
          <w:rFonts w:asciiTheme="minorHAnsi" w:hAnsiTheme="minorHAnsi" w:cstheme="minorHAnsi"/>
          <w:color w:val="000000"/>
        </w:rPr>
      </w:pPr>
      <w:r w:rsidRPr="00EA6DD1">
        <w:rPr>
          <w:rFonts w:asciiTheme="minorHAnsi" w:hAnsiTheme="minorHAnsi" w:cstheme="minorHAnsi"/>
          <w:color w:val="000000"/>
        </w:rPr>
        <w:t>In addition, the percent of non-Hispanic Black low</w:t>
      </w:r>
      <w:r w:rsidR="007D2047" w:rsidRPr="00EA6DD1">
        <w:rPr>
          <w:rFonts w:asciiTheme="minorHAnsi" w:hAnsiTheme="minorHAnsi" w:cstheme="minorHAnsi"/>
          <w:color w:val="000000"/>
        </w:rPr>
        <w:t>-</w:t>
      </w:r>
      <w:r w:rsidRPr="00EA6DD1">
        <w:rPr>
          <w:rFonts w:asciiTheme="minorHAnsi" w:hAnsiTheme="minorHAnsi" w:cstheme="minorHAnsi"/>
          <w:color w:val="000000"/>
        </w:rPr>
        <w:t>risk cesarean birth rates remain higher than all other ethnic groups in Tennessee. According to the recently released 2022 Tennessee Maternal Mortality Report, “Non-Hispanic Black women were 2.5 x more likely to die than white women” during pregnancy or up to one year after pregnancy [</w:t>
      </w:r>
      <w:r w:rsidR="00FA1BEE">
        <w:rPr>
          <w:rFonts w:asciiTheme="minorHAnsi" w:hAnsiTheme="minorHAnsi" w:cstheme="minorHAnsi"/>
          <w:color w:val="000000"/>
        </w:rPr>
        <w:t>6</w:t>
      </w:r>
      <w:r w:rsidRPr="00EA6DD1">
        <w:rPr>
          <w:rFonts w:asciiTheme="minorHAnsi" w:hAnsiTheme="minorHAnsi" w:cstheme="minorHAnsi"/>
          <w:color w:val="000000"/>
        </w:rPr>
        <w:t>]</w:t>
      </w:r>
      <w:r w:rsidR="00DF1ACD" w:rsidRPr="00EA6DD1">
        <w:rPr>
          <w:rFonts w:asciiTheme="minorHAnsi" w:hAnsiTheme="minorHAnsi" w:cstheme="minorHAnsi"/>
          <w:color w:val="000000"/>
        </w:rPr>
        <w:t xml:space="preserve">. </w:t>
      </w:r>
      <w:r w:rsidRPr="00EA6DD1">
        <w:rPr>
          <w:rFonts w:asciiTheme="minorHAnsi" w:hAnsiTheme="minorHAnsi" w:cstheme="minorHAnsi"/>
          <w:color w:val="000000"/>
        </w:rPr>
        <w:t xml:space="preserve"> Disparities in care are noted in multiple factors such as cesarean birth rates, preterm births, breastfeeding rates, and other areas TIPQC will continue to address through QI hospital team engagement in projects.</w:t>
      </w:r>
    </w:p>
    <w:p w14:paraId="6EB4D9E9" w14:textId="77777777" w:rsidR="00587F25" w:rsidRPr="00EA6DD1" w:rsidRDefault="00587F25" w:rsidP="009F164C">
      <w:pPr>
        <w:rPr>
          <w:rFonts w:asciiTheme="minorHAnsi" w:hAnsiTheme="minorHAnsi" w:cstheme="minorHAnsi"/>
          <w:color w:val="000000"/>
        </w:rPr>
      </w:pPr>
    </w:p>
    <w:p w14:paraId="015075EA" w14:textId="320DEA72" w:rsidR="00A66D94" w:rsidRPr="00EA6DD1" w:rsidRDefault="00A66D94" w:rsidP="00A15003">
      <w:pPr>
        <w:rPr>
          <w:rFonts w:asciiTheme="minorHAnsi" w:hAnsiTheme="minorHAnsi" w:cstheme="minorHAnsi"/>
          <w:iCs/>
          <w:color w:val="000000"/>
        </w:rPr>
      </w:pPr>
      <w:r w:rsidRPr="00EA6DD1">
        <w:rPr>
          <w:rFonts w:asciiTheme="minorHAnsi" w:hAnsiTheme="minorHAnsi" w:cstheme="minorHAnsi"/>
          <w:iCs/>
          <w:color w:val="000000"/>
        </w:rPr>
        <w:t xml:space="preserve">The most important group to focus on for cesarean birth reduction (vaginal birth promotion) and labor support are pregnancies that are considered Nulliparous, Term, Singleton, and Vertex (NTSV). NTSV is defined </w:t>
      </w:r>
      <w:r w:rsidRPr="00EA6DD1">
        <w:rPr>
          <w:rFonts w:asciiTheme="minorHAnsi" w:hAnsiTheme="minorHAnsi" w:cstheme="minorHAnsi"/>
          <w:iCs/>
        </w:rPr>
        <w:t xml:space="preserve">as </w:t>
      </w:r>
      <w:r w:rsidR="007443D5" w:rsidRPr="00EA6DD1">
        <w:rPr>
          <w:rFonts w:asciiTheme="minorHAnsi" w:hAnsiTheme="minorHAnsi" w:cstheme="minorHAnsi"/>
          <w:iCs/>
        </w:rPr>
        <w:t xml:space="preserve">the </w:t>
      </w:r>
      <w:r w:rsidRPr="00EA6DD1">
        <w:rPr>
          <w:rFonts w:asciiTheme="minorHAnsi" w:hAnsiTheme="minorHAnsi" w:cstheme="minorHAnsi"/>
          <w:iCs/>
        </w:rPr>
        <w:t xml:space="preserve">first </w:t>
      </w:r>
      <w:r w:rsidRPr="00EA6DD1">
        <w:rPr>
          <w:rFonts w:asciiTheme="minorHAnsi" w:hAnsiTheme="minorHAnsi" w:cstheme="minorHAnsi"/>
          <w:iCs/>
          <w:color w:val="000000"/>
        </w:rPr>
        <w:t>pregnancy beyond 20 weeks gestation (Nulliparous) with a &gt;37 weeks gestation or full-term (Term) single baby in utero (Singleton) in the head down presentation (Vertex). These factors represent the most favorable set of conditions for successful vaginal birth while simultaneously carrying the highest rate of labor complications. It is also the largest contributor to the rise in cesarean rates and exhibits the greatest variation for all subpopulations of cesarean births for both hospitals and providers. However, the NTSV population that can be compared between states, hospitals, and even providers.</w:t>
      </w:r>
    </w:p>
    <w:p w14:paraId="2697C193" w14:textId="77777777" w:rsidR="00A66D94" w:rsidRPr="00EA6DD1" w:rsidRDefault="00A66D94" w:rsidP="00A15003">
      <w:pPr>
        <w:rPr>
          <w:rFonts w:asciiTheme="minorHAnsi" w:hAnsiTheme="minorHAnsi" w:cstheme="minorHAnsi"/>
          <w:i/>
          <w:iCs/>
          <w:color w:val="000000"/>
        </w:rPr>
      </w:pPr>
    </w:p>
    <w:p w14:paraId="59115BAD" w14:textId="2E0D6478" w:rsidR="008E68C8" w:rsidRPr="00EA6DD1" w:rsidRDefault="008E68C8" w:rsidP="00A15003">
      <w:pPr>
        <w:rPr>
          <w:rFonts w:asciiTheme="minorHAnsi" w:hAnsiTheme="minorHAnsi" w:cstheme="minorHAnsi"/>
          <w:color w:val="000000"/>
        </w:rPr>
      </w:pPr>
      <w:r w:rsidRPr="00EA6DD1">
        <w:rPr>
          <w:rFonts w:asciiTheme="minorHAnsi" w:hAnsiTheme="minorHAnsi" w:cstheme="minorHAnsi"/>
          <w:i/>
          <w:iCs/>
          <w:color w:val="000000"/>
        </w:rPr>
        <w:lastRenderedPageBreak/>
        <w:br/>
      </w:r>
      <w:r w:rsidRPr="00EA6DD1">
        <w:rPr>
          <w:rFonts w:asciiTheme="minorHAnsi" w:hAnsiTheme="minorHAnsi" w:cstheme="minorHAnsi"/>
          <w:b/>
          <w:bCs/>
          <w:i/>
          <w:iCs/>
          <w:color w:val="000000"/>
          <w:u w:val="single"/>
        </w:rPr>
        <w:t>WHAT</w:t>
      </w:r>
      <w:r w:rsidRPr="00EA6DD1">
        <w:rPr>
          <w:rFonts w:asciiTheme="minorHAnsi" w:hAnsiTheme="minorHAnsi" w:cstheme="minorHAnsi"/>
          <w:i/>
          <w:iCs/>
          <w:color w:val="000000"/>
          <w:u w:val="single"/>
        </w:rPr>
        <w:t>:</w:t>
      </w:r>
      <w:r w:rsidRPr="00EA6DD1">
        <w:rPr>
          <w:rFonts w:asciiTheme="minorHAnsi" w:hAnsiTheme="minorHAnsi" w:cstheme="minorHAnsi"/>
          <w:i/>
          <w:iCs/>
          <w:color w:val="000000"/>
        </w:rPr>
        <w:t> </w:t>
      </w:r>
      <w:r w:rsidRPr="00EA6DD1">
        <w:rPr>
          <w:rFonts w:asciiTheme="minorHAnsi" w:hAnsiTheme="minorHAnsi" w:cstheme="minorHAnsi"/>
          <w:iCs/>
          <w:color w:val="000000"/>
        </w:rPr>
        <w:t>T</w:t>
      </w:r>
      <w:r w:rsidR="00663AC8" w:rsidRPr="00EA6DD1">
        <w:rPr>
          <w:rFonts w:asciiTheme="minorHAnsi" w:hAnsiTheme="minorHAnsi" w:cstheme="minorHAnsi"/>
          <w:iCs/>
          <w:color w:val="000000"/>
        </w:rPr>
        <w:t>IPQC</w:t>
      </w:r>
      <w:r w:rsidRPr="00EA6DD1">
        <w:rPr>
          <w:rFonts w:asciiTheme="minorHAnsi" w:hAnsiTheme="minorHAnsi" w:cstheme="minorHAnsi"/>
          <w:iCs/>
          <w:color w:val="000000"/>
        </w:rPr>
        <w:t xml:space="preserve"> has chosen to partner with the American College of Obstetricians and Gynecologist (ACOG) in their Alliance for Innovation on Maternal Health (AIM) safety program to improve care for pregnant women </w:t>
      </w:r>
      <w:r w:rsidR="00A66D94" w:rsidRPr="00EA6DD1">
        <w:rPr>
          <w:rFonts w:asciiTheme="minorHAnsi" w:hAnsiTheme="minorHAnsi" w:cstheme="minorHAnsi"/>
          <w:iCs/>
          <w:color w:val="000000"/>
        </w:rPr>
        <w:t>for the safe reduction of primary cesarean birth</w:t>
      </w:r>
      <w:r w:rsidR="007D2047" w:rsidRPr="00EA6DD1">
        <w:rPr>
          <w:rFonts w:asciiTheme="minorHAnsi" w:hAnsiTheme="minorHAnsi" w:cstheme="minorHAnsi"/>
          <w:iCs/>
          <w:color w:val="000000"/>
        </w:rPr>
        <w:t xml:space="preserve">. </w:t>
      </w:r>
      <w:r w:rsidRPr="00EA6DD1">
        <w:rPr>
          <w:rFonts w:asciiTheme="minorHAnsi" w:hAnsiTheme="minorHAnsi" w:cstheme="minorHAnsi"/>
          <w:iCs/>
          <w:color w:val="000000"/>
        </w:rPr>
        <w:t xml:space="preserve">In addition to ACOG, AIM Core Partners include American College of Nurse Midwives (ACNM), Association of State and Territorial Health Officials (ASTHO), Association of Women’s Health, Obstetric, and Neonatal Nursing (AWHONN), California Maternal Quality Care Collaborative (CMQCC), </w:t>
      </w:r>
      <w:r w:rsidR="00E0454D" w:rsidRPr="00EA6DD1">
        <w:rPr>
          <w:rFonts w:asciiTheme="minorHAnsi" w:hAnsiTheme="minorHAnsi" w:cstheme="minorHAnsi"/>
          <w:iCs/>
          <w:color w:val="000000"/>
        </w:rPr>
        <w:t>Preeclampsia Foundation</w:t>
      </w:r>
      <w:r w:rsidR="00F0017A" w:rsidRPr="00EA6DD1">
        <w:rPr>
          <w:rFonts w:asciiTheme="minorHAnsi" w:hAnsiTheme="minorHAnsi" w:cstheme="minorHAnsi"/>
          <w:iCs/>
          <w:color w:val="000000"/>
        </w:rPr>
        <w:t>,</w:t>
      </w:r>
      <w:r w:rsidRPr="00EA6DD1">
        <w:rPr>
          <w:rFonts w:asciiTheme="minorHAnsi" w:hAnsiTheme="minorHAnsi" w:cstheme="minorHAnsi"/>
          <w:iCs/>
          <w:color w:val="000000"/>
        </w:rPr>
        <w:t xml:space="preserve"> Society for Maternal-Fetal Medicine (SMFM)</w:t>
      </w:r>
      <w:r w:rsidR="00F0017A" w:rsidRPr="00EA6DD1">
        <w:rPr>
          <w:rFonts w:asciiTheme="minorHAnsi" w:hAnsiTheme="minorHAnsi" w:cstheme="minorHAnsi"/>
          <w:iCs/>
          <w:color w:val="000000"/>
        </w:rPr>
        <w:t xml:space="preserve"> and </w:t>
      </w:r>
      <w:r w:rsidRPr="00EA6DD1">
        <w:rPr>
          <w:rFonts w:asciiTheme="minorHAnsi" w:hAnsiTheme="minorHAnsi" w:cstheme="minorHAnsi"/>
          <w:iCs/>
          <w:color w:val="000000"/>
        </w:rPr>
        <w:t>collaboration with the TN Dept of Health, the TN Regional Perinatal Centers, and other state initiatives.</w:t>
      </w:r>
    </w:p>
    <w:p w14:paraId="09F6D444" w14:textId="77777777" w:rsidR="008E68C8" w:rsidRPr="00EA6DD1" w:rsidRDefault="008E68C8" w:rsidP="00A15003">
      <w:pPr>
        <w:rPr>
          <w:rFonts w:asciiTheme="minorHAnsi" w:hAnsiTheme="minorHAnsi" w:cstheme="minorHAnsi"/>
          <w:color w:val="000000"/>
        </w:rPr>
      </w:pPr>
      <w:r w:rsidRPr="00EA6DD1">
        <w:rPr>
          <w:rFonts w:asciiTheme="minorHAnsi" w:hAnsiTheme="minorHAnsi" w:cstheme="minorHAnsi"/>
          <w:i/>
          <w:iCs/>
          <w:color w:val="000000"/>
        </w:rPr>
        <w:t> </w:t>
      </w:r>
    </w:p>
    <w:p w14:paraId="5D39F511" w14:textId="43DECB2D" w:rsidR="008E68C8" w:rsidRPr="00EA6DD1" w:rsidRDefault="008E68C8" w:rsidP="00A15003">
      <w:pPr>
        <w:rPr>
          <w:rFonts w:asciiTheme="minorHAnsi" w:hAnsiTheme="minorHAnsi" w:cstheme="minorHAnsi"/>
          <w:color w:val="000000"/>
        </w:rPr>
      </w:pPr>
      <w:r w:rsidRPr="00EA6DD1">
        <w:rPr>
          <w:rFonts w:asciiTheme="minorHAnsi" w:hAnsiTheme="minorHAnsi" w:cstheme="minorHAnsi"/>
          <w:b/>
          <w:bCs/>
          <w:i/>
          <w:iCs/>
          <w:color w:val="000000"/>
          <w:u w:val="single"/>
        </w:rPr>
        <w:t>WHO:</w:t>
      </w:r>
      <w:r w:rsidRPr="00EA6DD1">
        <w:rPr>
          <w:rFonts w:asciiTheme="minorHAnsi" w:hAnsiTheme="minorHAnsi" w:cstheme="minorHAnsi"/>
          <w:i/>
          <w:iCs/>
          <w:color w:val="000000"/>
        </w:rPr>
        <w:t xml:space="preserve">  </w:t>
      </w:r>
      <w:r w:rsidRPr="00EA6DD1">
        <w:rPr>
          <w:rFonts w:asciiTheme="minorHAnsi" w:hAnsiTheme="minorHAnsi" w:cstheme="minorHAnsi"/>
          <w:iCs/>
          <w:color w:val="000000"/>
        </w:rPr>
        <w:t xml:space="preserve">The maternal arm will consist of all members of </w:t>
      </w:r>
      <w:r w:rsidR="00EA6DD1" w:rsidRPr="00EA6DD1">
        <w:rPr>
          <w:rFonts w:asciiTheme="minorHAnsi" w:hAnsiTheme="minorHAnsi" w:cstheme="minorHAnsi"/>
          <w:iCs/>
        </w:rPr>
        <w:t xml:space="preserve">the </w:t>
      </w:r>
      <w:r w:rsidRPr="00EA6DD1">
        <w:rPr>
          <w:rFonts w:asciiTheme="minorHAnsi" w:hAnsiTheme="minorHAnsi" w:cstheme="minorHAnsi"/>
          <w:iCs/>
          <w:color w:val="000000"/>
        </w:rPr>
        <w:t>obstetric care teams</w:t>
      </w:r>
      <w:r w:rsidR="00E0454D" w:rsidRPr="00EA6DD1">
        <w:rPr>
          <w:rFonts w:asciiTheme="minorHAnsi" w:hAnsiTheme="minorHAnsi" w:cstheme="minorHAnsi"/>
          <w:iCs/>
          <w:color w:val="000000"/>
        </w:rPr>
        <w:t>, emergency departments (ED),</w:t>
      </w:r>
      <w:r w:rsidR="000938B7" w:rsidRPr="00EA6DD1">
        <w:rPr>
          <w:rFonts w:asciiTheme="minorHAnsi" w:hAnsiTheme="minorHAnsi" w:cstheme="minorHAnsi"/>
          <w:iCs/>
          <w:color w:val="000000"/>
        </w:rPr>
        <w:t xml:space="preserve"> birthing centers</w:t>
      </w:r>
      <w:r w:rsidR="006232CC" w:rsidRPr="00EA6DD1">
        <w:rPr>
          <w:rFonts w:asciiTheme="minorHAnsi" w:hAnsiTheme="minorHAnsi" w:cstheme="minorHAnsi"/>
          <w:iCs/>
          <w:color w:val="FF0000"/>
        </w:rPr>
        <w:t>,</w:t>
      </w:r>
      <w:r w:rsidR="00E0454D" w:rsidRPr="00EA6DD1">
        <w:rPr>
          <w:rFonts w:asciiTheme="minorHAnsi" w:hAnsiTheme="minorHAnsi" w:cstheme="minorHAnsi"/>
          <w:iCs/>
          <w:color w:val="000000"/>
        </w:rPr>
        <w:t xml:space="preserve"> </w:t>
      </w:r>
      <w:r w:rsidR="000938B7" w:rsidRPr="00EA6DD1">
        <w:rPr>
          <w:rFonts w:asciiTheme="minorHAnsi" w:hAnsiTheme="minorHAnsi" w:cstheme="minorHAnsi"/>
          <w:iCs/>
          <w:color w:val="000000"/>
        </w:rPr>
        <w:t xml:space="preserve">and </w:t>
      </w:r>
      <w:r w:rsidR="00E0454D" w:rsidRPr="00EA6DD1">
        <w:rPr>
          <w:rFonts w:asciiTheme="minorHAnsi" w:hAnsiTheme="minorHAnsi" w:cstheme="minorHAnsi"/>
          <w:iCs/>
          <w:color w:val="000000"/>
        </w:rPr>
        <w:t>Intensive care units (ICUs)</w:t>
      </w:r>
      <w:r w:rsidR="002E13FE" w:rsidRPr="00EA6DD1">
        <w:rPr>
          <w:rFonts w:asciiTheme="minorHAnsi" w:hAnsiTheme="minorHAnsi" w:cstheme="minorHAnsi"/>
          <w:iCs/>
          <w:color w:val="000000"/>
        </w:rPr>
        <w:t xml:space="preserve">. </w:t>
      </w:r>
      <w:r w:rsidRPr="00EA6DD1">
        <w:rPr>
          <w:rFonts w:asciiTheme="minorHAnsi" w:hAnsiTheme="minorHAnsi" w:cstheme="minorHAnsi"/>
          <w:iCs/>
          <w:color w:val="000000"/>
        </w:rPr>
        <w:t xml:space="preserve">In addition, hospital administration support for </w:t>
      </w:r>
      <w:r w:rsidR="00BB20EA" w:rsidRPr="00EA6DD1">
        <w:rPr>
          <w:rFonts w:asciiTheme="minorHAnsi" w:hAnsiTheme="minorHAnsi" w:cstheme="minorHAnsi"/>
          <w:iCs/>
          <w:color w:val="000000"/>
        </w:rPr>
        <w:t>the promotion of vaginal delivery in NTSV</w:t>
      </w:r>
      <w:r w:rsidRPr="00EA6DD1">
        <w:rPr>
          <w:rFonts w:asciiTheme="minorHAnsi" w:hAnsiTheme="minorHAnsi" w:cstheme="minorHAnsi"/>
          <w:iCs/>
          <w:color w:val="000000"/>
        </w:rPr>
        <w:t xml:space="preserve"> </w:t>
      </w:r>
      <w:r w:rsidR="00BB20EA" w:rsidRPr="00EA6DD1">
        <w:rPr>
          <w:rFonts w:asciiTheme="minorHAnsi" w:hAnsiTheme="minorHAnsi" w:cstheme="minorHAnsi"/>
          <w:iCs/>
          <w:color w:val="000000"/>
        </w:rPr>
        <w:t>project</w:t>
      </w:r>
      <w:r w:rsidRPr="00EA6DD1">
        <w:rPr>
          <w:rFonts w:asciiTheme="minorHAnsi" w:hAnsiTheme="minorHAnsi" w:cstheme="minorHAnsi"/>
          <w:iCs/>
          <w:color w:val="000000"/>
        </w:rPr>
        <w:t xml:space="preserve"> is essential to provide team leadership, process development, implementation oversight, and quality measurement.</w:t>
      </w:r>
    </w:p>
    <w:p w14:paraId="137B6824" w14:textId="77777777" w:rsidR="008E68C8" w:rsidRPr="00EA6DD1" w:rsidRDefault="008E68C8" w:rsidP="00A15003">
      <w:pPr>
        <w:rPr>
          <w:rFonts w:asciiTheme="minorHAnsi" w:hAnsiTheme="minorHAnsi" w:cstheme="minorHAnsi"/>
          <w:color w:val="000000"/>
        </w:rPr>
      </w:pPr>
      <w:r w:rsidRPr="00EA6DD1">
        <w:rPr>
          <w:rFonts w:asciiTheme="minorHAnsi" w:hAnsiTheme="minorHAnsi" w:cstheme="minorHAnsi"/>
          <w:i/>
          <w:iCs/>
          <w:color w:val="000000"/>
        </w:rPr>
        <w:t> </w:t>
      </w:r>
    </w:p>
    <w:p w14:paraId="0056F430" w14:textId="1E8DC2E4" w:rsidR="008E68C8" w:rsidRPr="00EA6DD1" w:rsidRDefault="008E68C8" w:rsidP="00A15003">
      <w:pPr>
        <w:rPr>
          <w:rFonts w:asciiTheme="minorHAnsi" w:hAnsiTheme="minorHAnsi" w:cstheme="minorHAnsi"/>
          <w:i/>
          <w:iCs/>
          <w:color w:val="000000"/>
        </w:rPr>
      </w:pPr>
      <w:r w:rsidRPr="00EA6DD1">
        <w:rPr>
          <w:rFonts w:asciiTheme="minorHAnsi" w:hAnsiTheme="minorHAnsi" w:cstheme="minorHAnsi"/>
          <w:b/>
          <w:bCs/>
          <w:i/>
          <w:iCs/>
          <w:color w:val="000000"/>
          <w:u w:val="single"/>
        </w:rPr>
        <w:t>WHERE:</w:t>
      </w:r>
      <w:r w:rsidRPr="00EA6DD1">
        <w:rPr>
          <w:rFonts w:asciiTheme="minorHAnsi" w:hAnsiTheme="minorHAnsi" w:cstheme="minorHAnsi"/>
          <w:i/>
          <w:iCs/>
          <w:color w:val="000000"/>
        </w:rPr>
        <w:t> The maternal arm involve</w:t>
      </w:r>
      <w:r w:rsidR="00663AC8" w:rsidRPr="00EA6DD1">
        <w:rPr>
          <w:rFonts w:asciiTheme="minorHAnsi" w:hAnsiTheme="minorHAnsi" w:cstheme="minorHAnsi"/>
          <w:i/>
          <w:iCs/>
          <w:color w:val="000000"/>
        </w:rPr>
        <w:t>s</w:t>
      </w:r>
      <w:r w:rsidRPr="00EA6DD1">
        <w:rPr>
          <w:rFonts w:asciiTheme="minorHAnsi" w:hAnsiTheme="minorHAnsi" w:cstheme="minorHAnsi"/>
          <w:i/>
          <w:iCs/>
          <w:color w:val="000000"/>
        </w:rPr>
        <w:t xml:space="preserve"> inpatient delivering </w:t>
      </w:r>
      <w:r w:rsidRPr="00EA6DD1">
        <w:rPr>
          <w:rFonts w:asciiTheme="minorHAnsi" w:hAnsiTheme="minorHAnsi" w:cstheme="minorHAnsi"/>
          <w:i/>
          <w:iCs/>
        </w:rPr>
        <w:t>hospitals</w:t>
      </w:r>
      <w:r w:rsidR="00D037E9" w:rsidRPr="00EA6DD1">
        <w:rPr>
          <w:rFonts w:asciiTheme="minorHAnsi" w:hAnsiTheme="minorHAnsi" w:cstheme="minorHAnsi"/>
          <w:i/>
          <w:iCs/>
        </w:rPr>
        <w:t xml:space="preserve"> and</w:t>
      </w:r>
      <w:r w:rsidRPr="00EA6DD1">
        <w:rPr>
          <w:rFonts w:asciiTheme="minorHAnsi" w:hAnsiTheme="minorHAnsi" w:cstheme="minorHAnsi"/>
          <w:i/>
          <w:iCs/>
        </w:rPr>
        <w:t xml:space="preserve"> birthing </w:t>
      </w:r>
      <w:r w:rsidR="002E2343" w:rsidRPr="00EA6DD1">
        <w:rPr>
          <w:rFonts w:asciiTheme="minorHAnsi" w:hAnsiTheme="minorHAnsi" w:cstheme="minorHAnsi"/>
          <w:i/>
          <w:iCs/>
          <w:color w:val="000000"/>
        </w:rPr>
        <w:t>centers</w:t>
      </w:r>
      <w:r w:rsidR="005002F2" w:rsidRPr="00EA6DD1">
        <w:rPr>
          <w:rFonts w:asciiTheme="minorHAnsi" w:hAnsiTheme="minorHAnsi" w:cstheme="minorHAnsi"/>
          <w:i/>
          <w:iCs/>
          <w:color w:val="000000"/>
        </w:rPr>
        <w:t xml:space="preserve"> </w:t>
      </w:r>
      <w:r w:rsidRPr="00EA6DD1">
        <w:rPr>
          <w:rFonts w:asciiTheme="minorHAnsi" w:hAnsiTheme="minorHAnsi" w:cstheme="minorHAnsi"/>
          <w:i/>
          <w:iCs/>
          <w:color w:val="000000"/>
        </w:rPr>
        <w:t>in Tennessee</w:t>
      </w:r>
      <w:r w:rsidR="007D2047" w:rsidRPr="00EA6DD1">
        <w:rPr>
          <w:rFonts w:asciiTheme="minorHAnsi" w:hAnsiTheme="minorHAnsi" w:cstheme="minorHAnsi"/>
          <w:i/>
          <w:iCs/>
          <w:color w:val="000000"/>
        </w:rPr>
        <w:t xml:space="preserve">. </w:t>
      </w:r>
    </w:p>
    <w:p w14:paraId="22E29760" w14:textId="77777777" w:rsidR="008E68C8" w:rsidRPr="00EA6DD1" w:rsidRDefault="008E68C8" w:rsidP="00A15003">
      <w:pPr>
        <w:rPr>
          <w:rFonts w:asciiTheme="minorHAnsi" w:hAnsiTheme="minorHAnsi" w:cstheme="minorHAnsi"/>
          <w:i/>
          <w:iCs/>
          <w:color w:val="000000"/>
        </w:rPr>
      </w:pPr>
    </w:p>
    <w:p w14:paraId="69D611B8" w14:textId="39ACC648" w:rsidR="008E68C8" w:rsidRPr="00EA6DD1" w:rsidRDefault="008E68C8" w:rsidP="00A15003">
      <w:pPr>
        <w:rPr>
          <w:rFonts w:asciiTheme="minorHAnsi" w:hAnsiTheme="minorHAnsi" w:cstheme="minorHAnsi"/>
          <w:i/>
          <w:iCs/>
          <w:color w:val="000000"/>
        </w:rPr>
      </w:pPr>
      <w:r w:rsidRPr="00EA6DD1">
        <w:rPr>
          <w:rFonts w:asciiTheme="minorHAnsi" w:hAnsiTheme="minorHAnsi" w:cstheme="minorHAnsi"/>
          <w:b/>
          <w:i/>
          <w:iCs/>
          <w:color w:val="000000"/>
          <w:u w:val="single"/>
        </w:rPr>
        <w:t>HOW:</w:t>
      </w:r>
      <w:r w:rsidRPr="00EA6DD1">
        <w:rPr>
          <w:rFonts w:asciiTheme="minorHAnsi" w:hAnsiTheme="minorHAnsi" w:cstheme="minorHAnsi"/>
          <w:i/>
          <w:iCs/>
          <w:color w:val="000000"/>
        </w:rPr>
        <w:t xml:space="preserve">  </w:t>
      </w:r>
      <w:r w:rsidR="000938B7" w:rsidRPr="00EA6DD1">
        <w:rPr>
          <w:rFonts w:asciiTheme="minorHAnsi" w:hAnsiTheme="minorHAnsi" w:cstheme="minorHAnsi"/>
          <w:i/>
          <w:iCs/>
          <w:color w:val="000000"/>
        </w:rPr>
        <w:t xml:space="preserve">The maternal arm </w:t>
      </w:r>
      <w:r w:rsidRPr="00EA6DD1">
        <w:rPr>
          <w:rFonts w:asciiTheme="minorHAnsi" w:hAnsiTheme="minorHAnsi" w:cstheme="minorHAnsi"/>
          <w:i/>
          <w:iCs/>
          <w:color w:val="000000"/>
        </w:rPr>
        <w:t xml:space="preserve">will improve outcomes by addressing Readiness, Recognition and Prevention, Response, and Reporting. These 4 </w:t>
      </w:r>
      <w:proofErr w:type="gramStart"/>
      <w:r w:rsidRPr="00EA6DD1">
        <w:rPr>
          <w:rFonts w:asciiTheme="minorHAnsi" w:hAnsiTheme="minorHAnsi" w:cstheme="minorHAnsi"/>
          <w:i/>
          <w:iCs/>
          <w:color w:val="000000"/>
        </w:rPr>
        <w:t>R’s</w:t>
      </w:r>
      <w:proofErr w:type="gramEnd"/>
      <w:r w:rsidRPr="00EA6DD1">
        <w:rPr>
          <w:rFonts w:asciiTheme="minorHAnsi" w:hAnsiTheme="minorHAnsi" w:cstheme="minorHAnsi"/>
          <w:i/>
          <w:iCs/>
          <w:color w:val="000000"/>
        </w:rPr>
        <w:t xml:space="preserve"> provide a framework for tackling the numerous barriers and gap</w:t>
      </w:r>
      <w:r w:rsidR="00BB20EA" w:rsidRPr="00EA6DD1">
        <w:rPr>
          <w:rFonts w:asciiTheme="minorHAnsi" w:hAnsiTheme="minorHAnsi" w:cstheme="minorHAnsi"/>
          <w:i/>
          <w:iCs/>
          <w:color w:val="000000"/>
        </w:rPr>
        <w:t>s to optimal care for pregnant people</w:t>
      </w:r>
      <w:r w:rsidRPr="00EA6DD1">
        <w:rPr>
          <w:rFonts w:asciiTheme="minorHAnsi" w:hAnsiTheme="minorHAnsi" w:cstheme="minorHAnsi"/>
          <w:i/>
          <w:iCs/>
          <w:color w:val="000000"/>
        </w:rPr>
        <w:t>. </w:t>
      </w:r>
      <w:r w:rsidRPr="00EA6DD1">
        <w:rPr>
          <w:rFonts w:asciiTheme="minorHAnsi" w:hAnsiTheme="minorHAnsi" w:cstheme="minorHAnsi"/>
          <w:b/>
          <w:bCs/>
          <w:i/>
          <w:iCs/>
          <w:color w:val="000000"/>
        </w:rPr>
        <w:t>Readiness</w:t>
      </w:r>
      <w:r w:rsidRPr="00EA6DD1">
        <w:rPr>
          <w:rFonts w:asciiTheme="minorHAnsi" w:hAnsiTheme="minorHAnsi" w:cstheme="minorHAnsi"/>
          <w:i/>
          <w:iCs/>
          <w:color w:val="000000"/>
        </w:rPr>
        <w:t> focuses on patient, provider, and community education as well as development of institutional guidelines and protocols. </w:t>
      </w:r>
      <w:r w:rsidRPr="00EA6DD1">
        <w:rPr>
          <w:rFonts w:asciiTheme="minorHAnsi" w:hAnsiTheme="minorHAnsi" w:cstheme="minorHAnsi"/>
          <w:b/>
          <w:bCs/>
          <w:i/>
          <w:iCs/>
          <w:color w:val="000000"/>
        </w:rPr>
        <w:t>Recognition and Prevention</w:t>
      </w:r>
      <w:r w:rsidRPr="00EA6DD1">
        <w:rPr>
          <w:rFonts w:asciiTheme="minorHAnsi" w:hAnsiTheme="minorHAnsi" w:cstheme="minorHAnsi"/>
          <w:i/>
          <w:iCs/>
          <w:color w:val="000000"/>
        </w:rPr>
        <w:t xml:space="preserve"> emphasizes the importance of </w:t>
      </w:r>
      <w:r w:rsidR="006A5C1F" w:rsidRPr="00EA6DD1">
        <w:rPr>
          <w:rFonts w:asciiTheme="minorHAnsi" w:hAnsiTheme="minorHAnsi" w:cstheme="minorHAnsi"/>
          <w:i/>
          <w:iCs/>
          <w:color w:val="000000"/>
        </w:rPr>
        <w:t>standard protocol</w:t>
      </w:r>
      <w:r w:rsidR="005002F2" w:rsidRPr="00EA6DD1">
        <w:rPr>
          <w:rFonts w:asciiTheme="minorHAnsi" w:hAnsiTheme="minorHAnsi" w:cstheme="minorHAnsi"/>
          <w:i/>
          <w:iCs/>
          <w:color w:val="000000"/>
        </w:rPr>
        <w:t xml:space="preserve"> for standardized admission criteria, triage management, education, and support for women presenting in spontaneous labor. To offer standardized techniques for pain management, and comfort measures that promote labor progress and prevent dysfunctional labor. To offer protocols for timely identification of specific patient problems who would benefit from proactive intervention before labor to reduce the risk for cesarean birth. </w:t>
      </w:r>
      <w:r w:rsidRPr="00EA6DD1">
        <w:rPr>
          <w:rFonts w:asciiTheme="minorHAnsi" w:hAnsiTheme="minorHAnsi" w:cstheme="minorHAnsi"/>
          <w:i/>
          <w:iCs/>
          <w:color w:val="000000"/>
        </w:rPr>
        <w:t>The </w:t>
      </w:r>
      <w:r w:rsidRPr="00EA6DD1">
        <w:rPr>
          <w:rFonts w:asciiTheme="minorHAnsi" w:hAnsiTheme="minorHAnsi" w:cstheme="minorHAnsi"/>
          <w:b/>
          <w:bCs/>
          <w:i/>
          <w:iCs/>
          <w:color w:val="000000"/>
        </w:rPr>
        <w:t>Response</w:t>
      </w:r>
      <w:r w:rsidRPr="00EA6DD1">
        <w:rPr>
          <w:rFonts w:asciiTheme="minorHAnsi" w:hAnsiTheme="minorHAnsi" w:cstheme="minorHAnsi"/>
          <w:i/>
          <w:iCs/>
          <w:color w:val="000000"/>
        </w:rPr>
        <w:t xml:space="preserve"> aspect of the bundle focuses on access to treatment, education on </w:t>
      </w:r>
      <w:r w:rsidR="00663AC8" w:rsidRPr="00EA6DD1">
        <w:rPr>
          <w:rFonts w:asciiTheme="minorHAnsi" w:hAnsiTheme="minorHAnsi" w:cstheme="minorHAnsi"/>
          <w:i/>
          <w:iCs/>
          <w:color w:val="000000"/>
        </w:rPr>
        <w:t>f</w:t>
      </w:r>
      <w:r w:rsidR="006A5C1F" w:rsidRPr="00EA6DD1">
        <w:rPr>
          <w:rFonts w:asciiTheme="minorHAnsi" w:hAnsiTheme="minorHAnsi" w:cstheme="minorHAnsi"/>
          <w:i/>
          <w:iCs/>
          <w:color w:val="000000"/>
        </w:rPr>
        <w:t xml:space="preserve">acility-wide standard protocols with checklists and escalation policies for management </w:t>
      </w:r>
      <w:r w:rsidR="005002F2" w:rsidRPr="00EA6DD1">
        <w:rPr>
          <w:rFonts w:asciiTheme="minorHAnsi" w:hAnsiTheme="minorHAnsi" w:cstheme="minorHAnsi"/>
          <w:i/>
          <w:iCs/>
          <w:color w:val="000000"/>
        </w:rPr>
        <w:t xml:space="preserve">of every labor challenge by standardizing induction scheduling, evidence-based labor algorithms, polices, and techniques, which allow for prompt recognition and treatment of dystocia. </w:t>
      </w:r>
      <w:r w:rsidRPr="00EA6DD1">
        <w:rPr>
          <w:rFonts w:asciiTheme="minorHAnsi" w:hAnsiTheme="minorHAnsi" w:cstheme="minorHAnsi"/>
          <w:i/>
          <w:iCs/>
          <w:color w:val="000000"/>
        </w:rPr>
        <w:t>This includes the development of protocols</w:t>
      </w:r>
      <w:r w:rsidR="001D2087" w:rsidRPr="00EA6DD1">
        <w:rPr>
          <w:rFonts w:asciiTheme="minorHAnsi" w:hAnsiTheme="minorHAnsi" w:cstheme="minorHAnsi"/>
          <w:i/>
          <w:iCs/>
          <w:color w:val="000000"/>
        </w:rPr>
        <w:t xml:space="preserve"> in diagnosis</w:t>
      </w:r>
      <w:r w:rsidRPr="00EA6DD1">
        <w:rPr>
          <w:rFonts w:asciiTheme="minorHAnsi" w:hAnsiTheme="minorHAnsi" w:cstheme="minorHAnsi"/>
          <w:i/>
          <w:iCs/>
          <w:color w:val="000000"/>
        </w:rPr>
        <w:t xml:space="preserve"> in conjunction</w:t>
      </w:r>
      <w:r w:rsidR="001D2087" w:rsidRPr="00EA6DD1">
        <w:rPr>
          <w:rFonts w:asciiTheme="minorHAnsi" w:hAnsiTheme="minorHAnsi" w:cstheme="minorHAnsi"/>
          <w:i/>
          <w:iCs/>
          <w:color w:val="000000"/>
        </w:rPr>
        <w:t xml:space="preserve"> </w:t>
      </w:r>
      <w:r w:rsidRPr="00EA6DD1">
        <w:rPr>
          <w:rFonts w:asciiTheme="minorHAnsi" w:hAnsiTheme="minorHAnsi" w:cstheme="minorHAnsi"/>
          <w:i/>
          <w:iCs/>
          <w:color w:val="000000"/>
        </w:rPr>
        <w:t xml:space="preserve">with </w:t>
      </w:r>
      <w:r w:rsidR="006A5C1F" w:rsidRPr="00EA6DD1">
        <w:rPr>
          <w:rFonts w:asciiTheme="minorHAnsi" w:hAnsiTheme="minorHAnsi" w:cstheme="minorHAnsi"/>
          <w:i/>
          <w:iCs/>
          <w:color w:val="000000"/>
        </w:rPr>
        <w:t>timely medical intervention</w:t>
      </w:r>
      <w:r w:rsidR="001D2087" w:rsidRPr="00EA6DD1">
        <w:rPr>
          <w:rFonts w:asciiTheme="minorHAnsi" w:hAnsiTheme="minorHAnsi" w:cstheme="minorHAnsi"/>
          <w:i/>
          <w:iCs/>
          <w:color w:val="000000"/>
        </w:rPr>
        <w:t xml:space="preserve"> and treatment</w:t>
      </w:r>
      <w:r w:rsidRPr="00EA6DD1">
        <w:rPr>
          <w:rFonts w:asciiTheme="minorHAnsi" w:hAnsiTheme="minorHAnsi" w:cstheme="minorHAnsi"/>
          <w:i/>
          <w:iCs/>
          <w:color w:val="000000"/>
        </w:rPr>
        <w:t>.</w:t>
      </w:r>
      <w:r w:rsidR="00EA6DD1" w:rsidRPr="00EA6DD1">
        <w:rPr>
          <w:rFonts w:asciiTheme="minorHAnsi" w:hAnsiTheme="minorHAnsi" w:cstheme="minorHAnsi"/>
          <w:i/>
          <w:iCs/>
          <w:color w:val="000000"/>
        </w:rPr>
        <w:t xml:space="preserve">  Finally, </w:t>
      </w:r>
      <w:r w:rsidR="00EA6DD1" w:rsidRPr="00EA6DD1">
        <w:rPr>
          <w:rFonts w:asciiTheme="minorHAnsi" w:hAnsiTheme="minorHAnsi" w:cstheme="minorHAnsi"/>
          <w:b/>
          <w:bCs/>
          <w:i/>
          <w:iCs/>
          <w:color w:val="000000"/>
        </w:rPr>
        <w:t>Reporting</w:t>
      </w:r>
      <w:r w:rsidRPr="00EA6DD1">
        <w:rPr>
          <w:rFonts w:asciiTheme="minorHAnsi" w:hAnsiTheme="minorHAnsi" w:cstheme="minorHAnsi"/>
          <w:b/>
          <w:bCs/>
          <w:i/>
          <w:iCs/>
          <w:color w:val="000000"/>
        </w:rPr>
        <w:t>/Systems Learning</w:t>
      </w:r>
      <w:r w:rsidRPr="00EA6DD1">
        <w:rPr>
          <w:rFonts w:asciiTheme="minorHAnsi" w:hAnsiTheme="minorHAnsi" w:cstheme="minorHAnsi"/>
          <w:i/>
          <w:iCs/>
          <w:color w:val="000000"/>
        </w:rPr>
        <w:t> supports the development of mechanisms to collect data and outcomes.</w:t>
      </w:r>
    </w:p>
    <w:p w14:paraId="5472B1E2" w14:textId="77777777" w:rsidR="008E68C8" w:rsidRPr="00EA6DD1" w:rsidRDefault="008E68C8" w:rsidP="00A15003">
      <w:pPr>
        <w:rPr>
          <w:rFonts w:asciiTheme="minorHAnsi" w:hAnsiTheme="minorHAnsi" w:cstheme="minorHAnsi"/>
          <w:i/>
          <w:iCs/>
          <w:color w:val="000000"/>
        </w:rPr>
      </w:pPr>
    </w:p>
    <w:p w14:paraId="4F1F1679" w14:textId="06D6498B" w:rsidR="008E68C8" w:rsidRPr="00EA6DD1" w:rsidRDefault="008E68C8" w:rsidP="00A15003">
      <w:pPr>
        <w:rPr>
          <w:rFonts w:asciiTheme="minorHAnsi" w:hAnsiTheme="minorHAnsi" w:cstheme="minorHAnsi"/>
          <w:i/>
        </w:rPr>
      </w:pPr>
      <w:r w:rsidRPr="00EA6DD1">
        <w:rPr>
          <w:rFonts w:asciiTheme="minorHAnsi" w:hAnsiTheme="minorHAnsi" w:cstheme="minorHAnsi"/>
          <w:i/>
          <w:color w:val="000000" w:themeColor="text1"/>
        </w:rPr>
        <w:t xml:space="preserve">A major focus of </w:t>
      </w:r>
      <w:r w:rsidR="008145B5" w:rsidRPr="00EA6DD1">
        <w:rPr>
          <w:rFonts w:asciiTheme="minorHAnsi" w:hAnsiTheme="minorHAnsi" w:cstheme="minorHAnsi"/>
          <w:i/>
          <w:color w:val="000000" w:themeColor="text1"/>
        </w:rPr>
        <w:t>the maternal</w:t>
      </w:r>
      <w:r w:rsidRPr="00EA6DD1">
        <w:rPr>
          <w:rFonts w:asciiTheme="minorHAnsi" w:hAnsiTheme="minorHAnsi" w:cstheme="minorHAnsi"/>
          <w:i/>
          <w:color w:val="000000" w:themeColor="text1"/>
        </w:rPr>
        <w:t xml:space="preserve"> arm will be a needs assessment, review of existing maternal protocols for the population, and extensive education for the care t</w:t>
      </w:r>
      <w:r w:rsidR="005002F2" w:rsidRPr="00EA6DD1">
        <w:rPr>
          <w:rFonts w:asciiTheme="minorHAnsi" w:hAnsiTheme="minorHAnsi" w:cstheme="minorHAnsi"/>
          <w:i/>
          <w:color w:val="000000" w:themeColor="text1"/>
        </w:rPr>
        <w:t xml:space="preserve">eam on the overall safe reduction of primary cesarean birth. </w:t>
      </w:r>
      <w:r w:rsidRPr="00EA6DD1">
        <w:rPr>
          <w:rFonts w:asciiTheme="minorHAnsi" w:hAnsiTheme="minorHAnsi" w:cstheme="minorHAnsi"/>
          <w:i/>
        </w:rPr>
        <w:t>The overall format for coordination of the project, like other TIPQC projects, will be via a web-based conference tool</w:t>
      </w:r>
      <w:r w:rsidR="007D2047" w:rsidRPr="00EA6DD1">
        <w:rPr>
          <w:rFonts w:asciiTheme="minorHAnsi" w:hAnsiTheme="minorHAnsi" w:cstheme="minorHAnsi"/>
          <w:i/>
        </w:rPr>
        <w:t xml:space="preserve">. </w:t>
      </w:r>
      <w:r w:rsidRPr="00EA6DD1">
        <w:rPr>
          <w:rFonts w:asciiTheme="minorHAnsi" w:hAnsiTheme="minorHAnsi" w:cstheme="minorHAnsi"/>
          <w:i/>
        </w:rPr>
        <w:t xml:space="preserve">There will be </w:t>
      </w:r>
      <w:r w:rsidR="008145B5" w:rsidRPr="00EA6DD1">
        <w:rPr>
          <w:rFonts w:asciiTheme="minorHAnsi" w:hAnsiTheme="minorHAnsi" w:cstheme="minorHAnsi"/>
          <w:i/>
        </w:rPr>
        <w:t>monthly</w:t>
      </w:r>
      <w:r w:rsidRPr="00EA6DD1">
        <w:rPr>
          <w:rFonts w:asciiTheme="minorHAnsi" w:hAnsiTheme="minorHAnsi" w:cstheme="minorHAnsi"/>
          <w:i/>
        </w:rPr>
        <w:t xml:space="preserve"> maternal web conferences</w:t>
      </w:r>
      <w:r w:rsidR="007D2047" w:rsidRPr="00EA6DD1">
        <w:rPr>
          <w:rFonts w:asciiTheme="minorHAnsi" w:hAnsiTheme="minorHAnsi" w:cstheme="minorHAnsi"/>
          <w:i/>
        </w:rPr>
        <w:t xml:space="preserve">. </w:t>
      </w:r>
      <w:r w:rsidRPr="00EA6DD1">
        <w:rPr>
          <w:rFonts w:asciiTheme="minorHAnsi" w:hAnsiTheme="minorHAnsi" w:cstheme="minorHAnsi"/>
          <w:i/>
        </w:rPr>
        <w:t xml:space="preserve">The purpose of the conferences is to share “what works and what does not work in our setting” as we realize that any global plan or protocol must work within the context </w:t>
      </w:r>
      <w:r w:rsidRPr="00EA6DD1">
        <w:rPr>
          <w:rFonts w:asciiTheme="minorHAnsi" w:hAnsiTheme="minorHAnsi" w:cstheme="minorHAnsi"/>
          <w:i/>
        </w:rPr>
        <w:lastRenderedPageBreak/>
        <w:t xml:space="preserve">of the local hospital, </w:t>
      </w:r>
      <w:r w:rsidR="00EA6DD1" w:rsidRPr="00EA6DD1">
        <w:rPr>
          <w:rFonts w:asciiTheme="minorHAnsi" w:hAnsiTheme="minorHAnsi" w:cstheme="minorHAnsi"/>
          <w:i/>
        </w:rPr>
        <w:t>considering</w:t>
      </w:r>
      <w:r w:rsidRPr="00EA6DD1">
        <w:rPr>
          <w:rFonts w:asciiTheme="minorHAnsi" w:hAnsiTheme="minorHAnsi" w:cstheme="minorHAnsi"/>
          <w:i/>
        </w:rPr>
        <w:t xml:space="preserve"> resources, staffing, time commitment, etc.  This sharing will assist TIPQC to develop useful guidelines and management protocols/bundles that can be applied in most clinical settings</w:t>
      </w:r>
      <w:r w:rsidR="007D2047" w:rsidRPr="00EA6DD1">
        <w:rPr>
          <w:rFonts w:asciiTheme="minorHAnsi" w:hAnsiTheme="minorHAnsi" w:cstheme="minorHAnsi"/>
          <w:i/>
        </w:rPr>
        <w:t xml:space="preserve">. </w:t>
      </w:r>
      <w:r w:rsidRPr="00EA6DD1">
        <w:rPr>
          <w:rFonts w:asciiTheme="minorHAnsi" w:hAnsiTheme="minorHAnsi" w:cstheme="minorHAnsi"/>
          <w:i/>
        </w:rPr>
        <w:t>The final product will be a living product, undergoing constant modification as needed based on the context into which is applied</w:t>
      </w:r>
      <w:r w:rsidR="007D2047" w:rsidRPr="00EA6DD1">
        <w:rPr>
          <w:rFonts w:asciiTheme="minorHAnsi" w:hAnsiTheme="minorHAnsi" w:cstheme="minorHAnsi"/>
          <w:i/>
        </w:rPr>
        <w:t xml:space="preserve">. </w:t>
      </w:r>
    </w:p>
    <w:p w14:paraId="76AE04F5" w14:textId="77777777" w:rsidR="008E68C8" w:rsidRPr="00EA6DD1" w:rsidRDefault="008E68C8" w:rsidP="00A15003">
      <w:pPr>
        <w:rPr>
          <w:rFonts w:asciiTheme="minorHAnsi" w:hAnsiTheme="minorHAnsi" w:cstheme="minorHAnsi"/>
          <w:color w:val="000000"/>
        </w:rPr>
      </w:pPr>
      <w:r w:rsidRPr="00EA6DD1">
        <w:rPr>
          <w:rFonts w:asciiTheme="minorHAnsi" w:hAnsiTheme="minorHAnsi" w:cstheme="minorHAnsi"/>
          <w:i/>
          <w:iCs/>
          <w:color w:val="000000"/>
        </w:rPr>
        <w:t> </w:t>
      </w:r>
    </w:p>
    <w:p w14:paraId="0D012584" w14:textId="7DE4D054" w:rsidR="008E68C8" w:rsidRPr="00EA6DD1" w:rsidRDefault="008E68C8" w:rsidP="00A15003">
      <w:pPr>
        <w:rPr>
          <w:rFonts w:asciiTheme="minorHAnsi" w:hAnsiTheme="minorHAnsi" w:cstheme="minorHAnsi"/>
          <w:b/>
        </w:rPr>
      </w:pPr>
      <w:r w:rsidRPr="00EA6DD1">
        <w:rPr>
          <w:rFonts w:asciiTheme="minorHAnsi" w:hAnsiTheme="minorHAnsi" w:cstheme="minorHAnsi"/>
          <w:b/>
          <w:bCs/>
          <w:i/>
          <w:iCs/>
          <w:color w:val="000000"/>
          <w:u w:val="single"/>
        </w:rPr>
        <w:t>WHEN:</w:t>
      </w:r>
      <w:r w:rsidRPr="00EA6DD1">
        <w:rPr>
          <w:rFonts w:asciiTheme="minorHAnsi" w:hAnsiTheme="minorHAnsi" w:cstheme="minorHAnsi"/>
          <w:i/>
          <w:iCs/>
          <w:color w:val="000000"/>
        </w:rPr>
        <w:t xml:space="preserve">  A limited number of hospitals will participate in the obstetric pilot phase of </w:t>
      </w:r>
      <w:r w:rsidRPr="00EA6DD1">
        <w:rPr>
          <w:rFonts w:asciiTheme="minorHAnsi" w:hAnsiTheme="minorHAnsi" w:cstheme="minorHAnsi"/>
          <w:i/>
          <w:iCs/>
        </w:rPr>
        <w:t xml:space="preserve">implementation beginning in </w:t>
      </w:r>
      <w:r w:rsidR="0018011E" w:rsidRPr="00EA6DD1">
        <w:rPr>
          <w:rFonts w:asciiTheme="minorHAnsi" w:hAnsiTheme="minorHAnsi" w:cstheme="minorHAnsi"/>
          <w:i/>
          <w:iCs/>
        </w:rPr>
        <w:t>October</w:t>
      </w:r>
      <w:r w:rsidR="005002F2" w:rsidRPr="00EA6DD1">
        <w:rPr>
          <w:rFonts w:asciiTheme="minorHAnsi" w:hAnsiTheme="minorHAnsi" w:cstheme="minorHAnsi"/>
          <w:i/>
          <w:iCs/>
        </w:rPr>
        <w:t xml:space="preserve"> 2022</w:t>
      </w:r>
      <w:r w:rsidR="007D2047" w:rsidRPr="00EA6DD1">
        <w:rPr>
          <w:rFonts w:asciiTheme="minorHAnsi" w:hAnsiTheme="minorHAnsi" w:cstheme="minorHAnsi"/>
          <w:i/>
          <w:iCs/>
        </w:rPr>
        <w:t xml:space="preserve">. </w:t>
      </w:r>
      <w:r w:rsidRPr="00EA6DD1">
        <w:rPr>
          <w:rFonts w:asciiTheme="minorHAnsi" w:hAnsiTheme="minorHAnsi" w:cstheme="minorHAnsi"/>
          <w:i/>
          <w:iCs/>
        </w:rPr>
        <w:t>A full kick off for all state ho</w:t>
      </w:r>
      <w:r w:rsidR="005002F2" w:rsidRPr="00EA6DD1">
        <w:rPr>
          <w:rFonts w:asciiTheme="minorHAnsi" w:hAnsiTheme="minorHAnsi" w:cstheme="minorHAnsi"/>
          <w:i/>
          <w:iCs/>
        </w:rPr>
        <w:t xml:space="preserve">spital teams will be in </w:t>
      </w:r>
      <w:r w:rsidR="0018011E" w:rsidRPr="00EA6DD1">
        <w:rPr>
          <w:rFonts w:asciiTheme="minorHAnsi" w:hAnsiTheme="minorHAnsi" w:cstheme="minorHAnsi"/>
          <w:i/>
          <w:iCs/>
        </w:rPr>
        <w:t xml:space="preserve">January </w:t>
      </w:r>
      <w:r w:rsidR="00EA6DD1" w:rsidRPr="00EA6DD1">
        <w:rPr>
          <w:rFonts w:asciiTheme="minorHAnsi" w:hAnsiTheme="minorHAnsi" w:cstheme="minorHAnsi"/>
          <w:i/>
          <w:iCs/>
        </w:rPr>
        <w:t>-March 2023.</w:t>
      </w:r>
      <w:r w:rsidR="007D2047" w:rsidRPr="00EA6DD1">
        <w:rPr>
          <w:rFonts w:asciiTheme="minorHAnsi" w:hAnsiTheme="minorHAnsi" w:cstheme="minorHAnsi"/>
          <w:i/>
          <w:iCs/>
        </w:rPr>
        <w:t xml:space="preserve"> </w:t>
      </w:r>
    </w:p>
    <w:p w14:paraId="714C0AAA" w14:textId="77777777" w:rsidR="00663AC8" w:rsidRPr="00EA6DD1" w:rsidRDefault="00663AC8" w:rsidP="00A15003">
      <w:pPr>
        <w:rPr>
          <w:rFonts w:asciiTheme="minorHAnsi" w:eastAsiaTheme="majorEastAsia" w:hAnsiTheme="minorHAnsi" w:cstheme="minorHAnsi"/>
        </w:rPr>
      </w:pPr>
      <w:bookmarkStart w:id="0" w:name="_Toc52233942"/>
    </w:p>
    <w:bookmarkEnd w:id="0"/>
    <w:p w14:paraId="46A00A37" w14:textId="39355C0C" w:rsidR="00A15003" w:rsidRPr="00EA6DD1" w:rsidRDefault="00A15003" w:rsidP="00A15003">
      <w:pPr>
        <w:jc w:val="center"/>
        <w:rPr>
          <w:rFonts w:asciiTheme="minorHAnsi" w:eastAsiaTheme="minorHAnsi" w:hAnsiTheme="minorHAnsi" w:cstheme="minorHAnsi"/>
          <w:b/>
          <w:bCs/>
        </w:rPr>
      </w:pPr>
      <w:r w:rsidRPr="00EA6DD1">
        <w:rPr>
          <w:rFonts w:asciiTheme="minorHAnsi" w:eastAsiaTheme="minorHAnsi" w:hAnsiTheme="minorHAnsi" w:cstheme="minorHAnsi"/>
          <w:b/>
          <w:bCs/>
        </w:rPr>
        <w:t>AIMS, POPULATION, AND MEASURES</w:t>
      </w:r>
    </w:p>
    <w:p w14:paraId="0F914391" w14:textId="77777777" w:rsidR="00A15003" w:rsidRPr="00EA6DD1" w:rsidRDefault="00A15003" w:rsidP="00A15003">
      <w:pPr>
        <w:rPr>
          <w:rFonts w:asciiTheme="minorHAnsi" w:eastAsiaTheme="minorHAnsi" w:hAnsiTheme="minorHAnsi" w:cstheme="minorHAnsi"/>
          <w:b/>
          <w:bCs/>
          <w:u w:val="single"/>
        </w:rPr>
      </w:pPr>
    </w:p>
    <w:p w14:paraId="00D979D1" w14:textId="77D54CB8" w:rsidR="00EA6DD1" w:rsidRPr="00EA6DD1" w:rsidRDefault="00224FCE" w:rsidP="00EA6DD1">
      <w:pPr>
        <w:rPr>
          <w:rFonts w:asciiTheme="minorHAnsi" w:eastAsiaTheme="minorHAnsi" w:hAnsiTheme="minorHAnsi" w:cstheme="minorHAnsi"/>
        </w:rPr>
      </w:pPr>
      <w:r w:rsidRPr="00EA6DD1">
        <w:rPr>
          <w:rFonts w:asciiTheme="minorHAnsi" w:eastAsiaTheme="minorHAnsi" w:hAnsiTheme="minorHAnsi" w:cstheme="minorHAnsi"/>
          <w:b/>
          <w:bCs/>
          <w:u w:val="single"/>
        </w:rPr>
        <w:t>GLOBAL PROJECT AIM</w:t>
      </w:r>
      <w:r w:rsidRPr="00EA6DD1">
        <w:rPr>
          <w:rFonts w:asciiTheme="minorHAnsi" w:eastAsiaTheme="minorHAnsi" w:hAnsiTheme="minorHAnsi" w:cstheme="minorHAnsi"/>
        </w:rPr>
        <w:t xml:space="preserve">:  </w:t>
      </w:r>
      <w:r w:rsidR="005002F2" w:rsidRPr="00EA6DD1">
        <w:rPr>
          <w:rFonts w:asciiTheme="minorHAnsi" w:eastAsiaTheme="minorHAnsi" w:hAnsiTheme="minorHAnsi" w:cstheme="minorHAnsi"/>
        </w:rPr>
        <w:t>To promote safe vaginal delivery</w:t>
      </w:r>
      <w:r w:rsidR="00EA6DD1" w:rsidRPr="00EA6DD1">
        <w:rPr>
          <w:rFonts w:asciiTheme="minorHAnsi" w:eastAsiaTheme="minorHAnsi" w:hAnsiTheme="minorHAnsi" w:cstheme="minorHAnsi"/>
        </w:rPr>
        <w:t xml:space="preserve"> for ALL</w:t>
      </w:r>
      <w:r w:rsidR="005002F2" w:rsidRPr="00EA6DD1">
        <w:rPr>
          <w:rFonts w:asciiTheme="minorHAnsi" w:eastAsiaTheme="minorHAnsi" w:hAnsiTheme="minorHAnsi" w:cstheme="minorHAnsi"/>
        </w:rPr>
        <w:t xml:space="preserve"> in the birthing population presenting with a nulliparous, term, singleton, vertex pregnancy (</w:t>
      </w:r>
      <w:r w:rsidR="005002F2" w:rsidRPr="00FA1BEE">
        <w:rPr>
          <w:rFonts w:asciiTheme="minorHAnsi" w:eastAsiaTheme="minorHAnsi" w:hAnsiTheme="minorHAnsi" w:cstheme="minorHAnsi"/>
        </w:rPr>
        <w:t>NTSV) and thus decrease NTSV cesarean delivery rates to &lt;23.6% (Healthy People Goal 2030)</w:t>
      </w:r>
      <w:r w:rsidR="00917E72">
        <w:rPr>
          <w:rFonts w:asciiTheme="minorHAnsi" w:eastAsiaTheme="minorHAnsi" w:hAnsiTheme="minorHAnsi" w:cstheme="minorHAnsi"/>
        </w:rPr>
        <w:t xml:space="preserve"> </w:t>
      </w:r>
      <w:r w:rsidR="00FA1BEE" w:rsidRPr="00FA1BEE">
        <w:rPr>
          <w:rFonts w:asciiTheme="minorHAnsi" w:eastAsiaTheme="minorHAnsi" w:hAnsiTheme="minorHAnsi" w:cstheme="minorHAnsi"/>
        </w:rPr>
        <w:t>[</w:t>
      </w:r>
      <w:r w:rsidR="00CF3E48">
        <w:rPr>
          <w:rFonts w:asciiTheme="minorHAnsi" w:eastAsiaTheme="minorHAnsi" w:hAnsiTheme="minorHAnsi" w:cstheme="minorHAnsi"/>
        </w:rPr>
        <w:t>7</w:t>
      </w:r>
      <w:r w:rsidR="00FA1BEE" w:rsidRPr="00FA1BEE">
        <w:rPr>
          <w:rFonts w:asciiTheme="minorHAnsi" w:eastAsiaTheme="minorHAnsi" w:hAnsiTheme="minorHAnsi" w:cstheme="minorHAnsi"/>
        </w:rPr>
        <w:t>]</w:t>
      </w:r>
      <w:r w:rsidR="005002F2" w:rsidRPr="00EA6DD1">
        <w:rPr>
          <w:rFonts w:asciiTheme="minorHAnsi" w:eastAsiaTheme="minorHAnsi" w:hAnsiTheme="minorHAnsi" w:cstheme="minorHAnsi"/>
        </w:rPr>
        <w:t xml:space="preserve"> in all participating Tennessee birthing facilities by Summer 2024.</w:t>
      </w:r>
      <w:r w:rsidR="00EA6DD1" w:rsidRPr="00EA6DD1">
        <w:rPr>
          <w:rFonts w:asciiTheme="minorHAnsi" w:eastAsiaTheme="minorHAnsi" w:hAnsiTheme="minorHAnsi" w:cstheme="minorHAnsi"/>
        </w:rPr>
        <w:t xml:space="preserve">  This project will include a special focus on the BIPOC (Black, Indigenous, and People of Color) population which data shows has greater disparities in this outcome. </w:t>
      </w:r>
    </w:p>
    <w:p w14:paraId="401C512E" w14:textId="77777777" w:rsidR="005002F2" w:rsidRPr="00EA6DD1" w:rsidRDefault="005002F2" w:rsidP="00A15003">
      <w:pPr>
        <w:rPr>
          <w:rFonts w:asciiTheme="minorHAnsi" w:eastAsiaTheme="minorHAnsi" w:hAnsiTheme="minorHAnsi" w:cstheme="minorHAnsi"/>
        </w:rPr>
      </w:pPr>
    </w:p>
    <w:p w14:paraId="0CB903ED" w14:textId="77777777" w:rsidR="005002F2" w:rsidRPr="00EA6DD1" w:rsidRDefault="00224FCE" w:rsidP="005002F2">
      <w:pPr>
        <w:rPr>
          <w:rFonts w:asciiTheme="minorHAnsi" w:eastAsiaTheme="minorHAnsi" w:hAnsiTheme="minorHAnsi" w:cstheme="minorHAnsi"/>
        </w:rPr>
      </w:pPr>
      <w:r w:rsidRPr="00EA6DD1">
        <w:rPr>
          <w:rFonts w:asciiTheme="minorHAnsi" w:eastAsiaTheme="minorHAnsi" w:hAnsiTheme="minorHAnsi" w:cstheme="minorHAnsi"/>
          <w:b/>
          <w:bCs/>
          <w:u w:val="single"/>
        </w:rPr>
        <w:t>TARGET POPULATION</w:t>
      </w:r>
      <w:r w:rsidRPr="00EA6DD1">
        <w:rPr>
          <w:rFonts w:asciiTheme="minorHAnsi" w:eastAsiaTheme="minorHAnsi" w:hAnsiTheme="minorHAnsi" w:cstheme="minorHAnsi"/>
        </w:rPr>
        <w:t xml:space="preserve">:  </w:t>
      </w:r>
      <w:r w:rsidR="005002F2" w:rsidRPr="00EA6DD1">
        <w:rPr>
          <w:rFonts w:asciiTheme="minorHAnsi" w:eastAsiaTheme="minorHAnsi" w:hAnsiTheme="minorHAnsi" w:cstheme="minorHAnsi"/>
        </w:rPr>
        <w:t xml:space="preserve">Nulliparous birthing patients with a term, singleton baby in a vertex presentation. </w:t>
      </w:r>
    </w:p>
    <w:p w14:paraId="30D85000" w14:textId="1D142F85" w:rsidR="005002F2" w:rsidRPr="00EA6DD1" w:rsidRDefault="005002F2" w:rsidP="005002F2">
      <w:pPr>
        <w:ind w:left="720"/>
        <w:rPr>
          <w:rFonts w:asciiTheme="minorHAnsi" w:eastAsiaTheme="minorHAnsi" w:hAnsiTheme="minorHAnsi" w:cstheme="minorHAnsi"/>
        </w:rPr>
      </w:pPr>
      <w:r w:rsidRPr="00EA6DD1">
        <w:rPr>
          <w:rFonts w:asciiTheme="minorHAnsi" w:eastAsiaTheme="minorHAnsi" w:hAnsiTheme="minorHAnsi" w:cstheme="minorHAnsi"/>
        </w:rPr>
        <w:t>● Nulliparous = first delivery/birth or Para Zero</w:t>
      </w:r>
    </w:p>
    <w:p w14:paraId="7581CC9D" w14:textId="51ACC150" w:rsidR="005002F2" w:rsidRPr="00EA6DD1" w:rsidRDefault="005002F2" w:rsidP="005002F2">
      <w:pPr>
        <w:ind w:left="720"/>
        <w:rPr>
          <w:rFonts w:asciiTheme="minorHAnsi" w:eastAsiaTheme="minorHAnsi" w:hAnsiTheme="minorHAnsi" w:cstheme="minorHAnsi"/>
        </w:rPr>
      </w:pPr>
      <w:r w:rsidRPr="00EA6DD1">
        <w:rPr>
          <w:rFonts w:asciiTheme="minorHAnsi" w:eastAsiaTheme="minorHAnsi" w:hAnsiTheme="minorHAnsi" w:cstheme="minorHAnsi"/>
        </w:rPr>
        <w:t>● Term = ≥37 weeks gestation,</w:t>
      </w:r>
    </w:p>
    <w:p w14:paraId="0F93A138" w14:textId="76828DB4" w:rsidR="005002F2" w:rsidRPr="00EA6DD1" w:rsidRDefault="005002F2" w:rsidP="005002F2">
      <w:pPr>
        <w:ind w:left="720"/>
        <w:rPr>
          <w:rFonts w:asciiTheme="minorHAnsi" w:eastAsiaTheme="minorHAnsi" w:hAnsiTheme="minorHAnsi" w:cstheme="minorHAnsi"/>
        </w:rPr>
      </w:pPr>
      <w:r w:rsidRPr="00EA6DD1">
        <w:rPr>
          <w:rFonts w:asciiTheme="minorHAnsi" w:eastAsiaTheme="minorHAnsi" w:hAnsiTheme="minorHAnsi" w:cstheme="minorHAnsi"/>
        </w:rPr>
        <w:t>● Singleton = no twins or beyond,</w:t>
      </w:r>
    </w:p>
    <w:p w14:paraId="62236B06" w14:textId="083903C0" w:rsidR="00224FCE" w:rsidRPr="00EA6DD1" w:rsidRDefault="005002F2" w:rsidP="005002F2">
      <w:pPr>
        <w:ind w:left="720"/>
        <w:rPr>
          <w:rFonts w:asciiTheme="minorHAnsi" w:eastAsiaTheme="minorHAnsi" w:hAnsiTheme="minorHAnsi" w:cstheme="minorHAnsi"/>
        </w:rPr>
      </w:pPr>
      <w:r w:rsidRPr="00EA6DD1">
        <w:rPr>
          <w:rFonts w:asciiTheme="minorHAnsi" w:eastAsiaTheme="minorHAnsi" w:hAnsiTheme="minorHAnsi" w:cstheme="minorHAnsi"/>
        </w:rPr>
        <w:t>● Vertex position = Cephalic position; no breech or transverse positions.</w:t>
      </w:r>
    </w:p>
    <w:p w14:paraId="0E5197A6" w14:textId="15DCA48C" w:rsidR="005002F2" w:rsidRDefault="005002F2" w:rsidP="005002F2">
      <w:pPr>
        <w:ind w:left="720"/>
        <w:rPr>
          <w:rFonts w:asciiTheme="minorHAnsi" w:eastAsiaTheme="minorHAnsi" w:hAnsiTheme="minorHAnsi" w:cstheme="minorHAnsi"/>
          <w:i/>
        </w:rPr>
      </w:pPr>
      <w:r w:rsidRPr="00EA6DD1">
        <w:rPr>
          <w:rFonts w:asciiTheme="minorHAnsi" w:eastAsiaTheme="minorHAnsi" w:hAnsiTheme="minorHAnsi" w:cstheme="minorHAnsi"/>
          <w:i/>
        </w:rPr>
        <w:t>This population is also known as the NTSV population.</w:t>
      </w:r>
    </w:p>
    <w:p w14:paraId="4CA1536B" w14:textId="77777777" w:rsidR="00644ECF" w:rsidRPr="00EA6DD1" w:rsidRDefault="00644ECF" w:rsidP="005002F2">
      <w:pPr>
        <w:ind w:left="720"/>
        <w:rPr>
          <w:rFonts w:asciiTheme="minorHAnsi" w:eastAsiaTheme="minorHAnsi" w:hAnsiTheme="minorHAnsi" w:cstheme="minorHAnsi"/>
          <w:i/>
        </w:rPr>
      </w:pPr>
    </w:p>
    <w:p w14:paraId="3BF30287" w14:textId="77777777" w:rsidR="00644ECF" w:rsidRPr="00EA6DD1" w:rsidRDefault="00644ECF" w:rsidP="00644ECF">
      <w:pPr>
        <w:rPr>
          <w:rFonts w:asciiTheme="minorHAnsi" w:eastAsiaTheme="minorHAnsi" w:hAnsiTheme="minorHAnsi" w:cstheme="minorHAnsi"/>
          <w:b/>
          <w:bCs/>
          <w:u w:val="single"/>
        </w:rPr>
      </w:pPr>
      <w:r w:rsidRPr="00EA6DD1">
        <w:rPr>
          <w:rFonts w:asciiTheme="minorHAnsi" w:eastAsiaTheme="minorHAnsi" w:hAnsiTheme="minorHAnsi" w:cstheme="minorHAnsi"/>
          <w:b/>
          <w:bCs/>
          <w:u w:val="single"/>
        </w:rPr>
        <w:t>MEASURES</w:t>
      </w:r>
    </w:p>
    <w:p w14:paraId="74B4C61D" w14:textId="77777777" w:rsidR="00644ECF" w:rsidRPr="00EA6DD1" w:rsidRDefault="00644ECF" w:rsidP="00644ECF">
      <w:pPr>
        <w:rPr>
          <w:rFonts w:asciiTheme="minorHAnsi" w:eastAsiaTheme="minorHAnsi" w:hAnsiTheme="minorHAnsi" w:cstheme="minorHAnsi"/>
        </w:rPr>
      </w:pPr>
      <w:r w:rsidRPr="00EA6DD1">
        <w:rPr>
          <w:rFonts w:asciiTheme="minorHAnsi" w:eastAsiaTheme="minorHAnsi" w:hAnsiTheme="minorHAnsi" w:cstheme="minorHAnsi"/>
          <w:b/>
          <w:bCs/>
        </w:rPr>
        <w:t>I. Outcome Measures</w:t>
      </w:r>
      <w:r w:rsidRPr="00EA6DD1">
        <w:rPr>
          <w:rFonts w:asciiTheme="minorHAnsi" w:eastAsiaTheme="minorHAnsi" w:hAnsiTheme="minorHAnsi" w:cstheme="minorHAnsi"/>
        </w:rPr>
        <w:t>:</w:t>
      </w:r>
    </w:p>
    <w:p w14:paraId="562134E7" w14:textId="77777777" w:rsidR="00644ECF" w:rsidRPr="00EC69EF" w:rsidRDefault="00644ECF" w:rsidP="00644ECF">
      <w:pPr>
        <w:pBdr>
          <w:top w:val="nil"/>
          <w:left w:val="nil"/>
          <w:bottom w:val="nil"/>
          <w:right w:val="nil"/>
          <w:between w:val="nil"/>
        </w:pBdr>
        <w:rPr>
          <w:rFonts w:asciiTheme="minorHAnsi" w:hAnsiTheme="minorHAnsi" w:cstheme="minorHAnsi"/>
          <w:sz w:val="22"/>
          <w:szCs w:val="22"/>
        </w:rPr>
      </w:pPr>
      <w:r w:rsidRPr="00EC69EF">
        <w:rPr>
          <w:rFonts w:asciiTheme="minorHAnsi" w:hAnsiTheme="minorHAnsi" w:cstheme="minorHAnsi"/>
          <w:i/>
          <w:color w:val="000000"/>
          <w:sz w:val="22"/>
          <w:szCs w:val="22"/>
        </w:rPr>
        <w:t>Frequency of collection &amp; reporting</w:t>
      </w:r>
      <w:r w:rsidRPr="00EC69EF">
        <w:rPr>
          <w:rFonts w:asciiTheme="minorHAnsi" w:hAnsiTheme="minorHAnsi" w:cstheme="minorHAnsi"/>
          <w:color w:val="000000"/>
          <w:sz w:val="22"/>
          <w:szCs w:val="22"/>
        </w:rPr>
        <w:t>: monthly</w:t>
      </w:r>
    </w:p>
    <w:p w14:paraId="52F77130" w14:textId="77777777" w:rsidR="00644ECF" w:rsidRPr="00EA6DD1" w:rsidRDefault="00644ECF" w:rsidP="00644ECF">
      <w:pPr>
        <w:rPr>
          <w:rFonts w:asciiTheme="minorHAnsi" w:eastAsiaTheme="minorHAnsi" w:hAnsiTheme="minorHAnsi" w:cstheme="minorHAnsi"/>
          <w:b/>
          <w:bCs/>
        </w:rPr>
      </w:pPr>
      <w:r w:rsidRPr="00EA6DD1">
        <w:rPr>
          <w:rFonts w:asciiTheme="minorHAnsi" w:eastAsiaTheme="minorHAnsi" w:hAnsiTheme="minorHAnsi" w:cstheme="minorHAnsi"/>
          <w:b/>
          <w:bCs/>
        </w:rPr>
        <w:t>#1. Cesarean delivery rate among NTSV population</w:t>
      </w:r>
    </w:p>
    <w:p w14:paraId="79BE0E28" w14:textId="77777777" w:rsidR="00644ECF" w:rsidRPr="00EA6DD1" w:rsidRDefault="00644ECF" w:rsidP="00644ECF">
      <w:pPr>
        <w:numPr>
          <w:ilvl w:val="0"/>
          <w:numId w:val="14"/>
        </w:numPr>
        <w:rPr>
          <w:rFonts w:asciiTheme="minorHAnsi" w:eastAsiaTheme="minorHAnsi" w:hAnsiTheme="minorHAnsi" w:cstheme="minorHAnsi"/>
        </w:rPr>
      </w:pPr>
      <w:r w:rsidRPr="00EA6DD1">
        <w:rPr>
          <w:rFonts w:asciiTheme="minorHAnsi" w:eastAsiaTheme="minorHAnsi" w:hAnsiTheme="minorHAnsi" w:cstheme="minorHAnsi"/>
        </w:rPr>
        <w:t>Denominator</w:t>
      </w:r>
      <w:r w:rsidRPr="00EA6DD1">
        <w:rPr>
          <w:rFonts w:asciiTheme="minorHAnsi" w:eastAsiaTheme="minorHAnsi" w:hAnsiTheme="minorHAnsi" w:cstheme="minorHAnsi"/>
          <w:vertAlign w:val="superscript"/>
        </w:rPr>
        <w:footnoteReference w:id="1"/>
      </w:r>
      <w:r w:rsidRPr="00EA6DD1">
        <w:rPr>
          <w:rFonts w:asciiTheme="minorHAnsi" w:eastAsiaTheme="minorHAnsi" w:hAnsiTheme="minorHAnsi" w:cstheme="minorHAnsi"/>
        </w:rPr>
        <w:t xml:space="preserve"> = women with live births who are having their first birth ≥37 weeks and have a singleton in vertex (Cephalic) position</w:t>
      </w:r>
    </w:p>
    <w:p w14:paraId="0B321EED" w14:textId="77777777" w:rsidR="00644ECF" w:rsidRPr="00EA6DD1" w:rsidRDefault="00644ECF" w:rsidP="00644ECF">
      <w:pPr>
        <w:numPr>
          <w:ilvl w:val="0"/>
          <w:numId w:val="14"/>
        </w:numPr>
        <w:rPr>
          <w:rFonts w:asciiTheme="minorHAnsi" w:eastAsiaTheme="minorHAnsi" w:hAnsiTheme="minorHAnsi" w:cstheme="minorHAnsi"/>
        </w:rPr>
      </w:pPr>
      <w:r w:rsidRPr="00EA6DD1">
        <w:rPr>
          <w:rFonts w:asciiTheme="minorHAnsi" w:eastAsiaTheme="minorHAnsi" w:hAnsiTheme="minorHAnsi" w:cstheme="minorHAnsi"/>
        </w:rPr>
        <w:t>Numerator = among the denominator, all cases with a cesarean birth</w:t>
      </w:r>
    </w:p>
    <w:p w14:paraId="1CD93075" w14:textId="77777777" w:rsidR="00644ECF" w:rsidRPr="00EA6DD1" w:rsidRDefault="00644ECF" w:rsidP="00644ECF">
      <w:pPr>
        <w:numPr>
          <w:ilvl w:val="0"/>
          <w:numId w:val="14"/>
        </w:numPr>
        <w:rPr>
          <w:rFonts w:asciiTheme="minorHAnsi" w:eastAsiaTheme="minorHAnsi" w:hAnsiTheme="minorHAnsi" w:cstheme="minorHAnsi"/>
          <w:i/>
          <w:iCs/>
        </w:rPr>
      </w:pPr>
      <w:r w:rsidRPr="00EA6DD1">
        <w:rPr>
          <w:rFonts w:asciiTheme="minorHAnsi" w:eastAsiaTheme="minorHAnsi" w:hAnsiTheme="minorHAnsi" w:cstheme="minorHAnsi"/>
          <w:i/>
          <w:iCs/>
        </w:rPr>
        <w:t>This is equivalent to the Joint Commission PC-02 measure</w:t>
      </w:r>
    </w:p>
    <w:p w14:paraId="5324C17C" w14:textId="77777777" w:rsidR="00644ECF" w:rsidRPr="00EA6DD1" w:rsidRDefault="00644ECF" w:rsidP="00644ECF">
      <w:pPr>
        <w:rPr>
          <w:rFonts w:asciiTheme="minorHAnsi" w:eastAsiaTheme="minorHAnsi" w:hAnsiTheme="minorHAnsi" w:cstheme="minorHAnsi"/>
        </w:rPr>
      </w:pPr>
    </w:p>
    <w:p w14:paraId="441F88BD" w14:textId="77777777" w:rsidR="00644ECF" w:rsidRPr="00EA6DD1" w:rsidRDefault="00644ECF" w:rsidP="00644ECF">
      <w:pPr>
        <w:rPr>
          <w:rFonts w:asciiTheme="minorHAnsi" w:eastAsiaTheme="minorHAnsi" w:hAnsiTheme="minorHAnsi" w:cstheme="minorHAnsi"/>
          <w:b/>
          <w:bCs/>
        </w:rPr>
      </w:pPr>
      <w:r w:rsidRPr="00EA6DD1">
        <w:rPr>
          <w:rFonts w:asciiTheme="minorHAnsi" w:eastAsiaTheme="minorHAnsi" w:hAnsiTheme="minorHAnsi" w:cstheme="minorHAnsi"/>
          <w:b/>
          <w:bCs/>
        </w:rPr>
        <w:t>#2. Cesarean delivery rate among NTSV population after labor induction</w:t>
      </w:r>
    </w:p>
    <w:p w14:paraId="08CD9A92" w14:textId="77777777" w:rsidR="00644ECF" w:rsidRPr="00EA6DD1" w:rsidRDefault="00644ECF" w:rsidP="00644ECF">
      <w:pPr>
        <w:numPr>
          <w:ilvl w:val="0"/>
          <w:numId w:val="14"/>
        </w:numPr>
        <w:rPr>
          <w:rFonts w:asciiTheme="minorHAnsi" w:eastAsiaTheme="minorHAnsi" w:hAnsiTheme="minorHAnsi" w:cstheme="minorHAnsi"/>
        </w:rPr>
      </w:pPr>
      <w:r w:rsidRPr="00EA6DD1">
        <w:rPr>
          <w:rFonts w:asciiTheme="minorHAnsi" w:eastAsiaTheme="minorHAnsi" w:hAnsiTheme="minorHAnsi" w:cstheme="minorHAnsi"/>
        </w:rPr>
        <w:t>Denominator</w:t>
      </w:r>
      <w:r w:rsidRPr="00EA6DD1">
        <w:rPr>
          <w:rFonts w:asciiTheme="minorHAnsi" w:eastAsiaTheme="minorHAnsi" w:hAnsiTheme="minorHAnsi" w:cstheme="minorHAnsi"/>
          <w:vertAlign w:val="superscript"/>
        </w:rPr>
        <w:t>1</w:t>
      </w:r>
      <w:r w:rsidRPr="00EA6DD1">
        <w:rPr>
          <w:rFonts w:asciiTheme="minorHAnsi" w:eastAsiaTheme="minorHAnsi" w:hAnsiTheme="minorHAnsi" w:cstheme="minorHAnsi"/>
        </w:rPr>
        <w:t xml:space="preserve"> = women with live births who are having their first birth ≥37 weeks and have a singleton in vertex (Cephalic) position </w:t>
      </w:r>
      <w:r w:rsidRPr="00EA6DD1">
        <w:rPr>
          <w:rFonts w:asciiTheme="minorHAnsi" w:eastAsiaTheme="minorHAnsi" w:hAnsiTheme="minorHAnsi" w:cstheme="minorHAnsi"/>
          <w:i/>
          <w:iCs/>
          <w:u w:val="single"/>
        </w:rPr>
        <w:t>and with a labor induction</w:t>
      </w:r>
    </w:p>
    <w:p w14:paraId="52AF99B2" w14:textId="77777777" w:rsidR="00644ECF" w:rsidRPr="00EA6DD1" w:rsidRDefault="00644ECF" w:rsidP="00644ECF">
      <w:pPr>
        <w:numPr>
          <w:ilvl w:val="1"/>
          <w:numId w:val="14"/>
        </w:numPr>
        <w:rPr>
          <w:rFonts w:asciiTheme="minorHAnsi" w:eastAsiaTheme="minorHAnsi" w:hAnsiTheme="minorHAnsi" w:cstheme="minorHAnsi"/>
        </w:rPr>
      </w:pPr>
      <w:r w:rsidRPr="00EA6DD1">
        <w:rPr>
          <w:rFonts w:asciiTheme="minorHAnsi" w:eastAsiaTheme="minorHAnsi" w:hAnsiTheme="minorHAnsi" w:cstheme="minorHAnsi"/>
        </w:rPr>
        <w:t>Induction of labor is defined (by ACOG) as</w:t>
      </w:r>
    </w:p>
    <w:p w14:paraId="35A82685" w14:textId="77777777" w:rsidR="00644ECF" w:rsidRPr="00EA6DD1" w:rsidRDefault="00644ECF" w:rsidP="00644ECF">
      <w:pPr>
        <w:numPr>
          <w:ilvl w:val="2"/>
          <w:numId w:val="14"/>
        </w:numPr>
        <w:rPr>
          <w:rFonts w:asciiTheme="minorHAnsi" w:eastAsiaTheme="minorHAnsi" w:hAnsiTheme="minorHAnsi" w:cstheme="minorHAnsi"/>
        </w:rPr>
      </w:pPr>
      <w:r w:rsidRPr="00EA6DD1">
        <w:rPr>
          <w:rFonts w:asciiTheme="minorHAnsi" w:eastAsiaTheme="minorHAnsi" w:hAnsiTheme="minorHAnsi" w:cstheme="minorHAnsi"/>
        </w:rPr>
        <w:t xml:space="preserve">The use of pharmacologic and/or mechanical methods to </w:t>
      </w:r>
      <w:r w:rsidRPr="00EA6DD1">
        <w:rPr>
          <w:rFonts w:asciiTheme="minorHAnsi" w:eastAsiaTheme="minorHAnsi" w:hAnsiTheme="minorHAnsi" w:cstheme="minorHAnsi"/>
          <w:i/>
          <w:iCs/>
          <w:u w:val="single"/>
        </w:rPr>
        <w:t>initiate</w:t>
      </w:r>
      <w:r w:rsidRPr="00EA6DD1">
        <w:rPr>
          <w:rFonts w:asciiTheme="minorHAnsi" w:eastAsiaTheme="minorHAnsi" w:hAnsiTheme="minorHAnsi" w:cstheme="minorHAnsi"/>
        </w:rPr>
        <w:t xml:space="preserve"> labor.</w:t>
      </w:r>
    </w:p>
    <w:p w14:paraId="0EDA8287" w14:textId="77777777" w:rsidR="00644ECF" w:rsidRPr="00EA6DD1" w:rsidRDefault="00644ECF" w:rsidP="00644ECF">
      <w:pPr>
        <w:numPr>
          <w:ilvl w:val="2"/>
          <w:numId w:val="14"/>
        </w:numPr>
        <w:rPr>
          <w:rFonts w:asciiTheme="minorHAnsi" w:eastAsiaTheme="minorHAnsi" w:hAnsiTheme="minorHAnsi" w:cstheme="minorHAnsi"/>
        </w:rPr>
      </w:pPr>
      <w:r w:rsidRPr="00EA6DD1">
        <w:rPr>
          <w:rFonts w:asciiTheme="minorHAnsi" w:eastAsiaTheme="minorHAnsi" w:hAnsiTheme="minorHAnsi" w:cstheme="minorHAnsi"/>
        </w:rPr>
        <w:lastRenderedPageBreak/>
        <w:t>Examples of methods include but are not limited to artificial rupture of membranes, balloons, oxytocin, prostaglandin, laminaria, or other cervical ripening agents</w:t>
      </w:r>
    </w:p>
    <w:p w14:paraId="6FCE3015" w14:textId="77777777" w:rsidR="00644ECF" w:rsidRPr="00EA6DD1" w:rsidRDefault="00644ECF" w:rsidP="00644ECF">
      <w:pPr>
        <w:numPr>
          <w:ilvl w:val="2"/>
          <w:numId w:val="14"/>
        </w:numPr>
        <w:rPr>
          <w:rFonts w:asciiTheme="minorHAnsi" w:eastAsiaTheme="minorHAnsi" w:hAnsiTheme="minorHAnsi" w:cstheme="minorHAnsi"/>
        </w:rPr>
      </w:pPr>
      <w:r w:rsidRPr="00EA6DD1">
        <w:rPr>
          <w:rFonts w:asciiTheme="minorHAnsi" w:eastAsiaTheme="minorHAnsi" w:hAnsiTheme="minorHAnsi" w:cstheme="minorHAnsi"/>
        </w:rPr>
        <w:t>Includes both elective AND medically indicated inductions.</w:t>
      </w:r>
    </w:p>
    <w:p w14:paraId="54179AED" w14:textId="77777777" w:rsidR="00644ECF" w:rsidRPr="00EA6DD1" w:rsidRDefault="00644ECF" w:rsidP="00644ECF">
      <w:pPr>
        <w:numPr>
          <w:ilvl w:val="1"/>
          <w:numId w:val="14"/>
        </w:numPr>
        <w:rPr>
          <w:rFonts w:asciiTheme="minorHAnsi" w:eastAsiaTheme="minorHAnsi" w:hAnsiTheme="minorHAnsi" w:cstheme="minorHAnsi"/>
        </w:rPr>
      </w:pPr>
      <w:r w:rsidRPr="00EA6DD1">
        <w:rPr>
          <w:rFonts w:asciiTheme="minorHAnsi" w:eastAsiaTheme="minorHAnsi" w:hAnsiTheme="minorHAnsi" w:cstheme="minorHAnsi"/>
        </w:rPr>
        <w:t>A birth would still be counted in the denominator even if any of the following are performed:</w:t>
      </w:r>
    </w:p>
    <w:p w14:paraId="289F5555" w14:textId="77777777" w:rsidR="00644ECF" w:rsidRPr="00EA6DD1" w:rsidRDefault="00644ECF" w:rsidP="00644ECF">
      <w:pPr>
        <w:numPr>
          <w:ilvl w:val="2"/>
          <w:numId w:val="14"/>
        </w:numPr>
        <w:rPr>
          <w:rFonts w:asciiTheme="minorHAnsi" w:eastAsiaTheme="minorHAnsi" w:hAnsiTheme="minorHAnsi" w:cstheme="minorHAnsi"/>
        </w:rPr>
      </w:pPr>
      <w:r w:rsidRPr="00EA6DD1">
        <w:rPr>
          <w:rFonts w:asciiTheme="minorHAnsi" w:eastAsiaTheme="minorHAnsi" w:hAnsiTheme="minorHAnsi" w:cstheme="minorHAnsi"/>
        </w:rPr>
        <w:t>Unsuccessful attempts at initiating labor</w:t>
      </w:r>
    </w:p>
    <w:p w14:paraId="0399728D" w14:textId="77777777" w:rsidR="00644ECF" w:rsidRPr="00EA6DD1" w:rsidRDefault="00644ECF" w:rsidP="00644ECF">
      <w:pPr>
        <w:numPr>
          <w:ilvl w:val="2"/>
          <w:numId w:val="14"/>
        </w:numPr>
        <w:rPr>
          <w:rFonts w:asciiTheme="minorHAnsi" w:eastAsiaTheme="minorHAnsi" w:hAnsiTheme="minorHAnsi" w:cstheme="minorHAnsi"/>
        </w:rPr>
      </w:pPr>
      <w:r w:rsidRPr="00EA6DD1">
        <w:rPr>
          <w:rFonts w:asciiTheme="minorHAnsi" w:eastAsiaTheme="minorHAnsi" w:hAnsiTheme="minorHAnsi" w:cstheme="minorHAnsi"/>
        </w:rPr>
        <w:t>The use of pharmacologic and/or mechanical methods to initiate labor following spontaneous ruptured membranes without contractions</w:t>
      </w:r>
    </w:p>
    <w:p w14:paraId="30CC4871" w14:textId="77777777" w:rsidR="00644ECF" w:rsidRPr="00EA6DD1" w:rsidRDefault="00644ECF" w:rsidP="00644ECF">
      <w:pPr>
        <w:numPr>
          <w:ilvl w:val="0"/>
          <w:numId w:val="14"/>
        </w:numPr>
        <w:rPr>
          <w:rFonts w:asciiTheme="minorHAnsi" w:eastAsiaTheme="minorHAnsi" w:hAnsiTheme="minorHAnsi" w:cstheme="minorHAnsi"/>
        </w:rPr>
      </w:pPr>
      <w:r w:rsidRPr="00EA6DD1">
        <w:rPr>
          <w:rFonts w:asciiTheme="minorHAnsi" w:eastAsiaTheme="minorHAnsi" w:hAnsiTheme="minorHAnsi" w:cstheme="minorHAnsi"/>
        </w:rPr>
        <w:t>Numerator: among the denominator, all cases with a cesarean birth</w:t>
      </w:r>
    </w:p>
    <w:p w14:paraId="36CAB434" w14:textId="77777777" w:rsidR="00644ECF" w:rsidRDefault="00644ECF" w:rsidP="00644ECF">
      <w:pPr>
        <w:rPr>
          <w:rFonts w:asciiTheme="minorHAnsi" w:eastAsiaTheme="minorHAnsi" w:hAnsiTheme="minorHAnsi" w:cstheme="minorHAnsi"/>
          <w:b/>
          <w:bCs/>
        </w:rPr>
      </w:pPr>
    </w:p>
    <w:p w14:paraId="19700775" w14:textId="77777777" w:rsidR="00644ECF" w:rsidRPr="00A15003" w:rsidRDefault="00644ECF" w:rsidP="00644ECF">
      <w:pPr>
        <w:rPr>
          <w:rFonts w:asciiTheme="minorHAnsi" w:eastAsiaTheme="minorHAnsi" w:hAnsiTheme="minorHAnsi" w:cstheme="minorHAnsi"/>
          <w:b/>
          <w:bCs/>
        </w:rPr>
      </w:pPr>
      <w:r w:rsidRPr="00A15003">
        <w:rPr>
          <w:rFonts w:asciiTheme="minorHAnsi" w:eastAsiaTheme="minorHAnsi" w:hAnsiTheme="minorHAnsi" w:cstheme="minorHAnsi"/>
          <w:b/>
          <w:bCs/>
        </w:rPr>
        <w:t>II. Process Measures:</w:t>
      </w:r>
    </w:p>
    <w:p w14:paraId="79DAE1CD" w14:textId="77777777" w:rsidR="00644ECF" w:rsidRPr="00EC69EF" w:rsidRDefault="00644ECF" w:rsidP="00644ECF">
      <w:pPr>
        <w:pBdr>
          <w:top w:val="nil"/>
          <w:left w:val="nil"/>
          <w:bottom w:val="nil"/>
          <w:right w:val="nil"/>
          <w:between w:val="nil"/>
        </w:pBdr>
        <w:rPr>
          <w:rFonts w:asciiTheme="minorHAnsi" w:hAnsiTheme="minorHAnsi" w:cstheme="minorHAnsi"/>
          <w:sz w:val="22"/>
          <w:szCs w:val="22"/>
        </w:rPr>
      </w:pPr>
      <w:bookmarkStart w:id="1" w:name="_Hlk110582568"/>
      <w:r w:rsidRPr="00EC69EF">
        <w:rPr>
          <w:rFonts w:asciiTheme="minorHAnsi" w:hAnsiTheme="minorHAnsi" w:cstheme="minorHAnsi"/>
          <w:i/>
          <w:color w:val="000000"/>
          <w:sz w:val="22"/>
          <w:szCs w:val="22"/>
        </w:rPr>
        <w:t>Frequency of collection &amp; reporting</w:t>
      </w:r>
      <w:r w:rsidRPr="00EC69EF">
        <w:rPr>
          <w:rFonts w:asciiTheme="minorHAnsi" w:hAnsiTheme="minorHAnsi" w:cstheme="minorHAnsi"/>
          <w:color w:val="000000"/>
          <w:sz w:val="22"/>
          <w:szCs w:val="22"/>
        </w:rPr>
        <w:t>: quarterly</w:t>
      </w:r>
    </w:p>
    <w:bookmarkEnd w:id="1"/>
    <w:p w14:paraId="5D156E8E" w14:textId="77777777" w:rsidR="00644ECF" w:rsidRPr="005002F2" w:rsidRDefault="00644ECF" w:rsidP="00644ECF">
      <w:pPr>
        <w:rPr>
          <w:rFonts w:asciiTheme="minorHAnsi" w:eastAsiaTheme="minorHAnsi" w:hAnsiTheme="minorHAnsi" w:cstheme="minorHAnsi"/>
          <w:b/>
          <w:bCs/>
        </w:rPr>
      </w:pPr>
      <w:r>
        <w:rPr>
          <w:rFonts w:asciiTheme="minorHAnsi" w:eastAsiaTheme="minorHAnsi" w:hAnsiTheme="minorHAnsi" w:cstheme="minorHAnsi"/>
          <w:b/>
          <w:bCs/>
        </w:rPr>
        <w:t xml:space="preserve">#1. </w:t>
      </w:r>
      <w:r w:rsidRPr="005002F2">
        <w:rPr>
          <w:rFonts w:asciiTheme="minorHAnsi" w:eastAsiaTheme="minorHAnsi" w:hAnsiTheme="minorHAnsi" w:cstheme="minorHAnsi"/>
          <w:b/>
          <w:bCs/>
        </w:rPr>
        <w:t>Provider education</w:t>
      </w:r>
    </w:p>
    <w:p w14:paraId="1A3F2BCF" w14:textId="77777777" w:rsidR="00644ECF" w:rsidRPr="005002F2" w:rsidRDefault="00644ECF" w:rsidP="00644ECF">
      <w:pPr>
        <w:numPr>
          <w:ilvl w:val="0"/>
          <w:numId w:val="15"/>
        </w:numPr>
        <w:rPr>
          <w:rFonts w:asciiTheme="minorHAnsi" w:eastAsiaTheme="minorHAnsi" w:hAnsiTheme="minorHAnsi" w:cstheme="minorHAnsi"/>
        </w:rPr>
      </w:pPr>
      <w:r w:rsidRPr="005002F2">
        <w:rPr>
          <w:rFonts w:asciiTheme="minorHAnsi" w:eastAsiaTheme="minorHAnsi" w:hAnsiTheme="minorHAnsi" w:cstheme="minorHAnsi"/>
        </w:rPr>
        <w:t>Cumulative proportion of OB physicians and midwives who have completed (within the last 2 years) an education program on the ACOG/SMFM labor management guidelines that includes teaching on the Safe Reduction of Primary C/S: Support for Intended Vaginal Births bundle and the unit-standard protocol?</w:t>
      </w:r>
    </w:p>
    <w:p w14:paraId="04805F19" w14:textId="77777777" w:rsidR="00644ECF" w:rsidRPr="005002F2" w:rsidRDefault="00644ECF" w:rsidP="00644ECF">
      <w:pPr>
        <w:numPr>
          <w:ilvl w:val="1"/>
          <w:numId w:val="15"/>
        </w:numPr>
        <w:rPr>
          <w:rFonts w:asciiTheme="minorHAnsi" w:eastAsiaTheme="minorHAnsi" w:hAnsiTheme="minorHAnsi" w:cstheme="minorHAnsi"/>
        </w:rPr>
      </w:pPr>
      <w:r w:rsidRPr="005002F2">
        <w:rPr>
          <w:rFonts w:asciiTheme="minorHAnsi" w:eastAsiaTheme="minorHAnsi" w:hAnsiTheme="minorHAnsi" w:cstheme="minorHAnsi"/>
        </w:rPr>
        <w:t>Report estimates in 10% increments (0-9%, 10-19%, 20-29%, 30-39%, 40-49%, 50-59%, 60-69%, 70-79%, 80-89%, 90-100%)</w:t>
      </w:r>
    </w:p>
    <w:p w14:paraId="4BCCECB7" w14:textId="77777777" w:rsidR="00644ECF" w:rsidRPr="005002F2" w:rsidRDefault="00644ECF" w:rsidP="00644ECF">
      <w:pPr>
        <w:rPr>
          <w:rFonts w:asciiTheme="minorHAnsi" w:eastAsiaTheme="minorHAnsi" w:hAnsiTheme="minorHAnsi" w:cstheme="minorHAnsi"/>
          <w:b/>
          <w:bCs/>
        </w:rPr>
      </w:pPr>
    </w:p>
    <w:p w14:paraId="0FA20FE3" w14:textId="77777777" w:rsidR="00644ECF" w:rsidRPr="00EA6DD1" w:rsidRDefault="00644ECF" w:rsidP="00644ECF">
      <w:pPr>
        <w:rPr>
          <w:rFonts w:ascii="Calibri" w:eastAsiaTheme="minorHAnsi" w:hAnsi="Calibri" w:cs="Calibri"/>
          <w:b/>
          <w:bCs/>
        </w:rPr>
      </w:pPr>
      <w:r w:rsidRPr="00EA6DD1">
        <w:rPr>
          <w:rFonts w:ascii="Calibri" w:eastAsiaTheme="minorHAnsi" w:hAnsi="Calibri" w:cs="Calibri"/>
          <w:b/>
          <w:bCs/>
        </w:rPr>
        <w:t>#2. Nursing education</w:t>
      </w:r>
    </w:p>
    <w:p w14:paraId="57481E0D" w14:textId="77777777" w:rsidR="00644ECF" w:rsidRPr="00EA6DD1" w:rsidRDefault="00644ECF" w:rsidP="00644ECF">
      <w:pPr>
        <w:numPr>
          <w:ilvl w:val="0"/>
          <w:numId w:val="15"/>
        </w:numPr>
        <w:rPr>
          <w:rFonts w:ascii="Calibri" w:eastAsiaTheme="minorHAnsi" w:hAnsi="Calibri" w:cs="Calibri"/>
        </w:rPr>
      </w:pPr>
      <w:r w:rsidRPr="00EA6DD1">
        <w:rPr>
          <w:rFonts w:ascii="Calibri" w:eastAsiaTheme="minorHAnsi" w:hAnsi="Calibri" w:cs="Calibri"/>
        </w:rPr>
        <w:t>Cumulative proportion of OB nurses has completed (within the last 2 years) an education program on the ACOG/SMFM labor management guidelines that includes teaching on the Safe Reduction of Primary Cesarean Section: Support for Intended Vaginal Births bundle and the unit-standard protocol</w:t>
      </w:r>
    </w:p>
    <w:p w14:paraId="04B5C778" w14:textId="77777777" w:rsidR="00644ECF" w:rsidRPr="00EA6DD1" w:rsidRDefault="00644ECF" w:rsidP="00644ECF">
      <w:pPr>
        <w:numPr>
          <w:ilvl w:val="1"/>
          <w:numId w:val="15"/>
        </w:numPr>
        <w:rPr>
          <w:rFonts w:ascii="Calibri" w:eastAsiaTheme="minorHAnsi" w:hAnsi="Calibri" w:cs="Calibri"/>
        </w:rPr>
      </w:pPr>
      <w:r w:rsidRPr="00EA6DD1">
        <w:rPr>
          <w:rFonts w:ascii="Calibri" w:eastAsiaTheme="minorHAnsi" w:hAnsi="Calibri" w:cs="Calibri"/>
        </w:rPr>
        <w:t>Report estimates in 10% increments (0-9%, 10-19%, 20-29%, 30-39%, 40-49%, 50-59%, 60-69%, 70-79%, 80-89%, 90-100%)</w:t>
      </w:r>
    </w:p>
    <w:p w14:paraId="4CB20BE7" w14:textId="77777777" w:rsidR="00644ECF" w:rsidRPr="00EA6DD1" w:rsidRDefault="00644ECF" w:rsidP="00644ECF">
      <w:pPr>
        <w:rPr>
          <w:rFonts w:ascii="Calibri" w:eastAsiaTheme="minorHAnsi" w:hAnsi="Calibri" w:cs="Calibri"/>
        </w:rPr>
      </w:pPr>
    </w:p>
    <w:p w14:paraId="657F776E" w14:textId="77777777" w:rsidR="00644ECF" w:rsidRPr="00EA6DD1" w:rsidRDefault="00644ECF" w:rsidP="00644ECF">
      <w:pPr>
        <w:rPr>
          <w:rFonts w:ascii="Calibri" w:eastAsiaTheme="minorHAnsi" w:hAnsi="Calibri" w:cs="Calibri"/>
          <w:b/>
          <w:bCs/>
        </w:rPr>
      </w:pPr>
      <w:r w:rsidRPr="00EA6DD1">
        <w:rPr>
          <w:rFonts w:ascii="Calibri" w:eastAsiaTheme="minorHAnsi" w:hAnsi="Calibri" w:cs="Calibri"/>
          <w:b/>
          <w:bCs/>
        </w:rPr>
        <w:t>III. Structure Measures</w:t>
      </w:r>
    </w:p>
    <w:p w14:paraId="6615A0FC" w14:textId="77777777" w:rsidR="00644ECF" w:rsidRPr="00CF1271" w:rsidRDefault="00644ECF" w:rsidP="00644ECF">
      <w:pPr>
        <w:pBdr>
          <w:top w:val="nil"/>
          <w:left w:val="nil"/>
          <w:bottom w:val="nil"/>
          <w:right w:val="nil"/>
          <w:between w:val="nil"/>
        </w:pBdr>
        <w:rPr>
          <w:rFonts w:asciiTheme="minorHAnsi" w:hAnsiTheme="minorHAnsi" w:cstheme="minorHAnsi"/>
          <w:i/>
          <w:iCs/>
          <w:color w:val="000000"/>
          <w:sz w:val="22"/>
          <w:szCs w:val="22"/>
        </w:rPr>
      </w:pPr>
      <w:bookmarkStart w:id="2" w:name="_Hlk110582521"/>
      <w:r w:rsidRPr="00CF1271">
        <w:rPr>
          <w:rFonts w:asciiTheme="minorHAnsi" w:hAnsiTheme="minorHAnsi" w:cstheme="minorHAnsi"/>
          <w:i/>
          <w:iCs/>
          <w:color w:val="000000"/>
          <w:sz w:val="22"/>
          <w:szCs w:val="22"/>
        </w:rPr>
        <w:t>Participating hospitals to report the date each structure measure has been completed.</w:t>
      </w:r>
      <w:bookmarkEnd w:id="2"/>
    </w:p>
    <w:p w14:paraId="66CDBE35" w14:textId="77777777" w:rsidR="00644ECF" w:rsidRPr="00EA6DD1" w:rsidRDefault="00644ECF" w:rsidP="00644ECF">
      <w:pPr>
        <w:pBdr>
          <w:top w:val="nil"/>
          <w:left w:val="nil"/>
          <w:bottom w:val="nil"/>
          <w:right w:val="nil"/>
          <w:between w:val="nil"/>
        </w:pBdr>
        <w:rPr>
          <w:rFonts w:ascii="Calibri" w:hAnsi="Calibri" w:cs="Calibri"/>
          <w:b/>
          <w:bCs/>
          <w:color w:val="000000"/>
        </w:rPr>
      </w:pPr>
      <w:r>
        <w:rPr>
          <w:rFonts w:ascii="Calibri" w:hAnsi="Calibri" w:cs="Calibri"/>
          <w:b/>
          <w:bCs/>
          <w:color w:val="000000"/>
        </w:rPr>
        <w:t>#1</w:t>
      </w:r>
      <w:r w:rsidRPr="00EA6DD1">
        <w:rPr>
          <w:rFonts w:ascii="Calibri" w:hAnsi="Calibri" w:cs="Calibri"/>
          <w:b/>
          <w:bCs/>
          <w:color w:val="000000"/>
        </w:rPr>
        <w:t>. Patient, family, &amp; staff support</w:t>
      </w:r>
    </w:p>
    <w:p w14:paraId="7E06EF36" w14:textId="77777777" w:rsidR="00644ECF" w:rsidRPr="00EA6DD1" w:rsidRDefault="00644ECF" w:rsidP="00644ECF">
      <w:pPr>
        <w:numPr>
          <w:ilvl w:val="0"/>
          <w:numId w:val="15"/>
        </w:numPr>
        <w:pBdr>
          <w:top w:val="nil"/>
          <w:left w:val="nil"/>
          <w:bottom w:val="nil"/>
          <w:right w:val="nil"/>
          <w:between w:val="nil"/>
        </w:pBdr>
        <w:rPr>
          <w:rFonts w:ascii="Calibri" w:hAnsi="Calibri" w:cs="Calibri"/>
          <w:color w:val="000000"/>
        </w:rPr>
      </w:pPr>
      <w:r w:rsidRPr="00EA6DD1">
        <w:rPr>
          <w:rFonts w:ascii="Calibri" w:hAnsi="Calibri" w:cs="Calibri"/>
          <w:color w:val="000000"/>
        </w:rPr>
        <w:t xml:space="preserve">Has your hospital developed OB specific resources and protocols to support patients, and family through an unexpected/ traumatic Cesarean? </w:t>
      </w:r>
    </w:p>
    <w:p w14:paraId="6B13E366" w14:textId="77777777" w:rsidR="00644ECF" w:rsidRPr="00EA6DD1" w:rsidRDefault="00644ECF" w:rsidP="00644ECF">
      <w:pPr>
        <w:pBdr>
          <w:top w:val="nil"/>
          <w:left w:val="nil"/>
          <w:bottom w:val="nil"/>
          <w:right w:val="nil"/>
          <w:between w:val="nil"/>
        </w:pBdr>
        <w:rPr>
          <w:rFonts w:ascii="Calibri" w:hAnsi="Calibri" w:cs="Calibri"/>
          <w:b/>
          <w:bCs/>
          <w:color w:val="000000"/>
        </w:rPr>
      </w:pPr>
    </w:p>
    <w:p w14:paraId="7507B8C3" w14:textId="77777777" w:rsidR="00644ECF" w:rsidRPr="00EA6DD1" w:rsidRDefault="00644ECF" w:rsidP="00644ECF">
      <w:pPr>
        <w:pBdr>
          <w:top w:val="nil"/>
          <w:left w:val="nil"/>
          <w:bottom w:val="nil"/>
          <w:right w:val="nil"/>
          <w:between w:val="nil"/>
        </w:pBdr>
        <w:rPr>
          <w:rFonts w:ascii="Calibri" w:hAnsi="Calibri" w:cs="Calibri"/>
          <w:b/>
          <w:bCs/>
          <w:color w:val="000000"/>
        </w:rPr>
      </w:pPr>
      <w:r w:rsidRPr="00EA6DD1">
        <w:rPr>
          <w:rFonts w:ascii="Calibri" w:hAnsi="Calibri" w:cs="Calibri"/>
          <w:b/>
          <w:bCs/>
          <w:color w:val="000000"/>
        </w:rPr>
        <w:t>#2. Policy &amp; Procedure</w:t>
      </w:r>
    </w:p>
    <w:p w14:paraId="444802A8" w14:textId="77777777" w:rsidR="00644ECF" w:rsidRPr="00EA6DD1" w:rsidRDefault="00644ECF" w:rsidP="00644ECF">
      <w:pPr>
        <w:numPr>
          <w:ilvl w:val="0"/>
          <w:numId w:val="15"/>
        </w:numPr>
        <w:pBdr>
          <w:top w:val="nil"/>
          <w:left w:val="nil"/>
          <w:bottom w:val="nil"/>
          <w:right w:val="nil"/>
          <w:between w:val="nil"/>
        </w:pBdr>
        <w:rPr>
          <w:rFonts w:ascii="Calibri" w:hAnsi="Calibri" w:cs="Calibri"/>
          <w:color w:val="000000"/>
        </w:rPr>
      </w:pPr>
      <w:r w:rsidRPr="00EA6DD1">
        <w:rPr>
          <w:rFonts w:ascii="Calibri" w:hAnsi="Calibri" w:cs="Calibri"/>
          <w:color w:val="000000"/>
        </w:rPr>
        <w:t>Does your hospital have an up-to-date new labor guidelines policy and procedure (reviewed and updated in the last 2-3 years) that provides a unit-standard approach for providing labor support, freedom of movement, and management protocols for labor challenges?</w:t>
      </w:r>
    </w:p>
    <w:p w14:paraId="199ABD93" w14:textId="77777777" w:rsidR="00644ECF" w:rsidRPr="00EA6DD1" w:rsidRDefault="00644ECF" w:rsidP="00644ECF">
      <w:pPr>
        <w:pBdr>
          <w:top w:val="nil"/>
          <w:left w:val="nil"/>
          <w:bottom w:val="nil"/>
          <w:right w:val="nil"/>
          <w:between w:val="nil"/>
        </w:pBdr>
        <w:rPr>
          <w:rFonts w:ascii="Calibri" w:hAnsi="Calibri" w:cs="Calibri"/>
          <w:b/>
          <w:bCs/>
          <w:color w:val="000000"/>
        </w:rPr>
      </w:pPr>
    </w:p>
    <w:p w14:paraId="6067825F" w14:textId="77777777" w:rsidR="00644ECF" w:rsidRPr="00EA6DD1" w:rsidRDefault="00644ECF" w:rsidP="00644ECF">
      <w:pPr>
        <w:pBdr>
          <w:top w:val="nil"/>
          <w:left w:val="nil"/>
          <w:bottom w:val="nil"/>
          <w:right w:val="nil"/>
          <w:between w:val="nil"/>
        </w:pBdr>
        <w:rPr>
          <w:rFonts w:ascii="Calibri" w:hAnsi="Calibri" w:cs="Calibri"/>
          <w:b/>
          <w:bCs/>
          <w:color w:val="000000"/>
        </w:rPr>
      </w:pPr>
      <w:r w:rsidRPr="00EA6DD1">
        <w:rPr>
          <w:rFonts w:ascii="Calibri" w:hAnsi="Calibri" w:cs="Calibri"/>
          <w:b/>
          <w:bCs/>
          <w:color w:val="000000"/>
        </w:rPr>
        <w:t>#3. EMR Integration</w:t>
      </w:r>
    </w:p>
    <w:p w14:paraId="7E016BC5" w14:textId="77777777" w:rsidR="00644ECF" w:rsidRPr="00EA6DD1" w:rsidRDefault="00644ECF" w:rsidP="00644ECF">
      <w:pPr>
        <w:numPr>
          <w:ilvl w:val="0"/>
          <w:numId w:val="15"/>
        </w:numPr>
        <w:pBdr>
          <w:top w:val="nil"/>
          <w:left w:val="nil"/>
          <w:bottom w:val="nil"/>
          <w:right w:val="nil"/>
          <w:between w:val="nil"/>
        </w:pBdr>
        <w:rPr>
          <w:rFonts w:ascii="Calibri" w:hAnsi="Calibri" w:cs="Calibri"/>
          <w:color w:val="000000"/>
        </w:rPr>
      </w:pPr>
      <w:r w:rsidRPr="00EA6DD1">
        <w:rPr>
          <w:rFonts w:ascii="Calibri" w:hAnsi="Calibri" w:cs="Calibri"/>
          <w:color w:val="000000"/>
        </w:rPr>
        <w:lastRenderedPageBreak/>
        <w:t xml:space="preserve">Were any of the recommended tools for the Safe Reduction of Primary Cesarean Section bundle (i.e., order sets, protocols, and/or documentation) integrated into your hospital’s Electronic Medical Record system? </w:t>
      </w:r>
    </w:p>
    <w:p w14:paraId="17906F09" w14:textId="77777777" w:rsidR="00644ECF" w:rsidRPr="00EA6DD1" w:rsidRDefault="00644ECF" w:rsidP="00644ECF">
      <w:pPr>
        <w:pBdr>
          <w:top w:val="nil"/>
          <w:left w:val="nil"/>
          <w:bottom w:val="nil"/>
          <w:right w:val="nil"/>
          <w:between w:val="nil"/>
        </w:pBdr>
        <w:rPr>
          <w:rFonts w:ascii="Calibri" w:hAnsi="Calibri" w:cs="Calibri"/>
          <w:b/>
          <w:bCs/>
          <w:iCs/>
          <w:color w:val="000000"/>
        </w:rPr>
      </w:pPr>
    </w:p>
    <w:p w14:paraId="1B007986" w14:textId="77777777" w:rsidR="00644ECF" w:rsidRPr="00EA6DD1" w:rsidRDefault="00644ECF" w:rsidP="00644ECF">
      <w:pPr>
        <w:pBdr>
          <w:top w:val="nil"/>
          <w:left w:val="nil"/>
          <w:bottom w:val="nil"/>
          <w:right w:val="nil"/>
          <w:between w:val="nil"/>
        </w:pBdr>
        <w:rPr>
          <w:rFonts w:ascii="Calibri" w:hAnsi="Calibri" w:cs="Calibri"/>
          <w:b/>
          <w:bCs/>
          <w:i/>
          <w:color w:val="000000"/>
        </w:rPr>
      </w:pPr>
      <w:r w:rsidRPr="00EA6DD1">
        <w:rPr>
          <w:rFonts w:ascii="Calibri" w:hAnsi="Calibri" w:cs="Calibri"/>
          <w:b/>
          <w:bCs/>
          <w:iCs/>
          <w:color w:val="000000"/>
        </w:rPr>
        <w:t>#4. Multidisciplinary case reviews</w:t>
      </w:r>
    </w:p>
    <w:p w14:paraId="7C42C791" w14:textId="77777777" w:rsidR="00644ECF" w:rsidRPr="00EA6DD1" w:rsidRDefault="00644ECF" w:rsidP="00644ECF">
      <w:pPr>
        <w:numPr>
          <w:ilvl w:val="0"/>
          <w:numId w:val="15"/>
        </w:numPr>
        <w:pBdr>
          <w:top w:val="nil"/>
          <w:left w:val="nil"/>
          <w:bottom w:val="nil"/>
          <w:right w:val="nil"/>
          <w:between w:val="nil"/>
        </w:pBdr>
        <w:rPr>
          <w:rFonts w:ascii="Calibri" w:hAnsi="Calibri" w:cs="Calibri"/>
          <w:iCs/>
          <w:color w:val="000000"/>
        </w:rPr>
      </w:pPr>
      <w:r w:rsidRPr="00EA6DD1">
        <w:rPr>
          <w:rFonts w:ascii="Calibri" w:hAnsi="Calibri" w:cs="Calibri"/>
          <w:iCs/>
          <w:color w:val="000000"/>
        </w:rPr>
        <w:t>Has your hospital established a process to perform multidisciplinary bundle reviews on a random sample of 10-20 charts/monthly (depending on hospital size) for NTSV C/S?</w:t>
      </w:r>
    </w:p>
    <w:p w14:paraId="2A48D19F" w14:textId="77777777" w:rsidR="00C70778" w:rsidRPr="00EA6DD1" w:rsidRDefault="00C70778" w:rsidP="00A15003">
      <w:pPr>
        <w:rPr>
          <w:rFonts w:ascii="Calibri" w:hAnsi="Calibri" w:cs="Calibri"/>
          <w:b/>
        </w:rPr>
      </w:pPr>
      <w:bookmarkStart w:id="3" w:name="_heading=h.3whwml4" w:colFirst="0" w:colLast="0"/>
      <w:bookmarkEnd w:id="3"/>
    </w:p>
    <w:p w14:paraId="469E7D3B" w14:textId="77777777" w:rsidR="00123934" w:rsidRPr="00EA6DD1" w:rsidRDefault="008E68C8" w:rsidP="00A15003">
      <w:pPr>
        <w:tabs>
          <w:tab w:val="left" w:pos="680"/>
        </w:tabs>
        <w:jc w:val="center"/>
        <w:rPr>
          <w:rFonts w:ascii="Calibri" w:hAnsi="Calibri" w:cs="Calibri"/>
          <w:b/>
        </w:rPr>
      </w:pPr>
      <w:r w:rsidRPr="00EA6DD1">
        <w:rPr>
          <w:rFonts w:ascii="Calibri" w:hAnsi="Calibri" w:cs="Calibri"/>
          <w:b/>
        </w:rPr>
        <w:t>CHARTER</w:t>
      </w:r>
    </w:p>
    <w:p w14:paraId="49370A50" w14:textId="77777777" w:rsidR="00C70778" w:rsidRPr="00EA6DD1" w:rsidRDefault="00C70778" w:rsidP="00A15003">
      <w:pPr>
        <w:tabs>
          <w:tab w:val="left" w:pos="680"/>
        </w:tabs>
        <w:jc w:val="center"/>
        <w:rPr>
          <w:rFonts w:ascii="Calibri" w:hAnsi="Calibri" w:cs="Calibri"/>
          <w:b/>
        </w:rPr>
      </w:pPr>
    </w:p>
    <w:p w14:paraId="2BD733C9" w14:textId="151D377C" w:rsidR="005002F2" w:rsidRDefault="00E520EB" w:rsidP="00A15003">
      <w:pPr>
        <w:rPr>
          <w:rFonts w:ascii="Calibri" w:eastAsiaTheme="minorHAnsi" w:hAnsi="Calibri" w:cs="Calibri"/>
          <w:color w:val="000000"/>
        </w:rPr>
      </w:pPr>
      <w:r w:rsidRPr="00EA6DD1">
        <w:rPr>
          <w:rFonts w:ascii="Calibri" w:eastAsiaTheme="minorHAnsi" w:hAnsi="Calibri" w:cs="Calibri"/>
        </w:rPr>
        <w:t>An inter-professional team of T</w:t>
      </w:r>
      <w:r w:rsidR="000938B7" w:rsidRPr="00EA6DD1">
        <w:rPr>
          <w:rFonts w:ascii="Calibri" w:eastAsiaTheme="minorHAnsi" w:hAnsi="Calibri" w:cs="Calibri"/>
        </w:rPr>
        <w:t>ennessee obstetric</w:t>
      </w:r>
      <w:r w:rsidRPr="00EA6DD1">
        <w:rPr>
          <w:rFonts w:ascii="Calibri" w:eastAsiaTheme="minorHAnsi" w:hAnsi="Calibri" w:cs="Calibri"/>
        </w:rPr>
        <w:t xml:space="preserve"> providers selected </w:t>
      </w:r>
      <w:r w:rsidR="005002F2" w:rsidRPr="00EA6DD1">
        <w:rPr>
          <w:rFonts w:ascii="Calibri" w:eastAsiaTheme="minorHAnsi" w:hAnsi="Calibri" w:cs="Calibri"/>
        </w:rPr>
        <w:t>promotion of vaginal delivery</w:t>
      </w:r>
      <w:r w:rsidRPr="00EA6DD1">
        <w:rPr>
          <w:rFonts w:ascii="Calibri" w:eastAsia="Calibri" w:hAnsi="Calibri" w:cs="Calibri"/>
        </w:rPr>
        <w:t xml:space="preserve">. TIPQC’s maternal arm, in conjunction with the Alliance </w:t>
      </w:r>
      <w:r w:rsidR="00EA6DD1">
        <w:rPr>
          <w:rFonts w:ascii="Calibri" w:eastAsia="Calibri" w:hAnsi="Calibri" w:cs="Calibri"/>
        </w:rPr>
        <w:t>for</w:t>
      </w:r>
      <w:r w:rsidRPr="00EA6DD1">
        <w:rPr>
          <w:rFonts w:ascii="Calibri" w:eastAsia="Calibri" w:hAnsi="Calibri" w:cs="Calibri"/>
        </w:rPr>
        <w:t xml:space="preserve"> Innovation on Maternal Care</w:t>
      </w:r>
      <w:r w:rsidR="00663AC8" w:rsidRPr="00EA6DD1">
        <w:rPr>
          <w:rFonts w:ascii="Calibri" w:eastAsia="Calibri" w:hAnsi="Calibri" w:cs="Calibri"/>
        </w:rPr>
        <w:t xml:space="preserve"> (AIM)</w:t>
      </w:r>
      <w:r w:rsidR="007D2047" w:rsidRPr="00EA6DD1">
        <w:rPr>
          <w:rFonts w:ascii="Calibri" w:eastAsia="Calibri" w:hAnsi="Calibri" w:cs="Calibri"/>
        </w:rPr>
        <w:t xml:space="preserve">. </w:t>
      </w:r>
      <w:r w:rsidRPr="00EA6DD1">
        <w:rPr>
          <w:rFonts w:ascii="Calibri" w:eastAsiaTheme="minorHAnsi" w:hAnsi="Calibri" w:cs="Calibri"/>
          <w:color w:val="000000" w:themeColor="text1"/>
        </w:rPr>
        <w:t>Additionally</w:t>
      </w:r>
      <w:r w:rsidRPr="00EA6DD1">
        <w:rPr>
          <w:rFonts w:ascii="Calibri" w:eastAsiaTheme="minorHAnsi" w:hAnsi="Calibri" w:cs="Calibri"/>
          <w:color w:val="000000"/>
        </w:rPr>
        <w:t>, TIPQC noticed “gaps” in statewide</w:t>
      </w:r>
      <w:r w:rsidR="00FF5FB6" w:rsidRPr="00EA6DD1">
        <w:rPr>
          <w:rFonts w:ascii="Calibri" w:eastAsiaTheme="minorHAnsi" w:hAnsi="Calibri" w:cs="Calibri"/>
          <w:color w:val="000000"/>
        </w:rPr>
        <w:t xml:space="preserve"> maternal care for supporting vaginal birth and reducing fist birth cesareans. </w:t>
      </w:r>
      <w:r w:rsidR="00587F25" w:rsidRPr="00EA6DD1">
        <w:rPr>
          <w:rFonts w:ascii="Calibri" w:eastAsiaTheme="minorHAnsi" w:hAnsi="Calibri" w:cs="Calibri"/>
          <w:color w:val="000000"/>
        </w:rPr>
        <w:t xml:space="preserve">Although cesarean births can be lifesaving for mother and baby, and medically needed, the rapid rise and extreme variation suggests that the “grey-areas” indications seem to be driving much of these trends. Recent data indicates that term newborn outcomes have not improved in the last 20 years. This rise in cesarean rates has resulted in significant health, social, and economic cost for American women. </w:t>
      </w:r>
    </w:p>
    <w:p w14:paraId="1CE64985" w14:textId="77777777" w:rsidR="00EA6DD1" w:rsidRPr="00EA6DD1" w:rsidRDefault="00EA6DD1" w:rsidP="00A15003">
      <w:pPr>
        <w:rPr>
          <w:rFonts w:ascii="Calibri" w:eastAsiaTheme="minorHAnsi" w:hAnsi="Calibri" w:cs="Calibri"/>
          <w:color w:val="000000"/>
        </w:rPr>
      </w:pPr>
    </w:p>
    <w:p w14:paraId="5F937CA5" w14:textId="1283E87B" w:rsidR="00E520EB" w:rsidRDefault="00587F25" w:rsidP="00A15003">
      <w:pPr>
        <w:rPr>
          <w:rFonts w:ascii="Calibri" w:eastAsiaTheme="minorHAnsi" w:hAnsi="Calibri" w:cs="Calibri"/>
          <w:color w:val="000000"/>
        </w:rPr>
      </w:pPr>
      <w:r w:rsidRPr="00EA6DD1">
        <w:rPr>
          <w:rFonts w:ascii="Calibri" w:eastAsiaTheme="minorHAnsi" w:hAnsi="Calibri" w:cs="Calibri"/>
          <w:color w:val="000000"/>
        </w:rPr>
        <w:t xml:space="preserve">The Joint Commission subsequently adopted this metric in 2010 and now requires all hospitals with more than 300 births report their results as part of the Perinatal Core Measure Set. The metric has also been adopted by the Leapfrog Group and Centers for Medicare and Medicaid Services. Several states also require hospital reporting as part of their Medicaid quality initiatives. The NTSV Cesarean Birth measure was re-endorsed as one of NQF’s Perinatal and Reproductive Health measures in 2016, and The Joint Commission is now the steward of the measure. </w:t>
      </w:r>
      <w:r w:rsidR="00E520EB" w:rsidRPr="00EA6DD1">
        <w:rPr>
          <w:rFonts w:ascii="Calibri" w:eastAsiaTheme="minorHAnsi" w:hAnsi="Calibri" w:cs="Calibri"/>
          <w:color w:val="000000"/>
        </w:rPr>
        <w:t>The TIPQC Maternal Arm with</w:t>
      </w:r>
      <w:r w:rsidR="00C70778" w:rsidRPr="00EA6DD1">
        <w:rPr>
          <w:rFonts w:ascii="Calibri" w:eastAsiaTheme="minorHAnsi" w:hAnsi="Calibri" w:cs="Calibri"/>
          <w:color w:val="000000"/>
        </w:rPr>
        <w:t xml:space="preserve"> AIM</w:t>
      </w:r>
      <w:r w:rsidR="00E520EB" w:rsidRPr="00EA6DD1">
        <w:rPr>
          <w:rFonts w:ascii="Calibri" w:eastAsiaTheme="minorHAnsi" w:hAnsi="Calibri" w:cs="Calibri"/>
          <w:color w:val="000000"/>
        </w:rPr>
        <w:t xml:space="preserve"> collaborated to bring this project to fruition in Tennessee</w:t>
      </w:r>
      <w:r w:rsidR="007D2047" w:rsidRPr="00EA6DD1">
        <w:rPr>
          <w:rFonts w:ascii="Calibri" w:eastAsiaTheme="minorHAnsi" w:hAnsi="Calibri" w:cs="Calibri"/>
          <w:color w:val="000000"/>
        </w:rPr>
        <w:t xml:space="preserve">. </w:t>
      </w:r>
      <w:r w:rsidR="00E520EB" w:rsidRPr="00EA6DD1">
        <w:rPr>
          <w:rFonts w:ascii="Calibri" w:eastAsiaTheme="minorHAnsi" w:hAnsi="Calibri" w:cs="Calibri"/>
          <w:color w:val="000000"/>
        </w:rPr>
        <w:t xml:space="preserve">AIM is a </w:t>
      </w:r>
      <w:r w:rsidR="00E520EB" w:rsidRPr="00EA6DD1">
        <w:rPr>
          <w:rFonts w:ascii="Calibri" w:eastAsiaTheme="minorHAnsi" w:hAnsi="Calibri" w:cs="Calibri"/>
          <w:b/>
          <w:bCs/>
          <w:color w:val="000000"/>
        </w:rPr>
        <w:t>national data-driven maternal safety and quality improvement initiative</w:t>
      </w:r>
      <w:r w:rsidR="00E520EB" w:rsidRPr="00EA6DD1">
        <w:rPr>
          <w:rFonts w:ascii="Calibri" w:eastAsiaTheme="minorHAnsi" w:hAnsi="Calibri" w:cs="Calibri"/>
          <w:color w:val="000000"/>
        </w:rPr>
        <w:t xml:space="preserve"> based on proven implementation approaches to improving maternal safety and outcomes in the US</w:t>
      </w:r>
      <w:r w:rsidR="007D2047" w:rsidRPr="00EA6DD1">
        <w:rPr>
          <w:rFonts w:ascii="Calibri" w:eastAsiaTheme="minorHAnsi" w:hAnsi="Calibri" w:cs="Calibri"/>
          <w:color w:val="000000"/>
        </w:rPr>
        <w:t xml:space="preserve">. </w:t>
      </w:r>
      <w:r w:rsidR="00E520EB" w:rsidRPr="00EA6DD1">
        <w:rPr>
          <w:rFonts w:ascii="Calibri" w:eastAsiaTheme="minorHAnsi" w:hAnsi="Calibri" w:cs="Calibri"/>
          <w:color w:val="000000"/>
        </w:rPr>
        <w:t>AIM’s goal is to eliminate preventable maternal mortality and severe morbidity across the United States (US). AIM works through state teams and health systems to align national, state, and hospital level quality improvement efforts to improve overall maternal health outcomes. AIM is funded through a cooperative agreement with the Maternal and Child Health Bureau (MCHB)-Health Resource Services Administration.</w:t>
      </w:r>
      <w:r w:rsidR="00E520EB" w:rsidRPr="00EA6DD1">
        <w:rPr>
          <w:rFonts w:ascii="Calibri" w:eastAsiaTheme="minorHAnsi" w:hAnsi="Calibri" w:cs="Calibri"/>
        </w:rPr>
        <w:t xml:space="preserve"> </w:t>
      </w:r>
      <w:r w:rsidR="00E520EB" w:rsidRPr="00EA6DD1">
        <w:rPr>
          <w:rFonts w:ascii="Calibri" w:eastAsiaTheme="minorHAnsi" w:hAnsi="Calibri" w:cs="Calibri"/>
          <w:color w:val="000000"/>
        </w:rPr>
        <w:t xml:space="preserve">Additionally, TIPQC noticed “gaps” in </w:t>
      </w:r>
      <w:r w:rsidRPr="00EA6DD1">
        <w:rPr>
          <w:rFonts w:ascii="Calibri" w:eastAsiaTheme="minorHAnsi" w:hAnsi="Calibri" w:cs="Calibri"/>
          <w:color w:val="000000"/>
        </w:rPr>
        <w:t>rate of NTSV cesarean deliveries in birthing facilities across Tennessee</w:t>
      </w:r>
      <w:r w:rsidR="007D2047" w:rsidRPr="00EA6DD1">
        <w:rPr>
          <w:rFonts w:ascii="Calibri" w:eastAsiaTheme="minorHAnsi" w:hAnsi="Calibri" w:cs="Calibri"/>
          <w:color w:val="000000"/>
        </w:rPr>
        <w:t xml:space="preserve">. </w:t>
      </w:r>
    </w:p>
    <w:p w14:paraId="697A83B5" w14:textId="77777777" w:rsidR="00B51BDA" w:rsidRPr="00EA6DD1" w:rsidRDefault="00B51BDA" w:rsidP="00A15003">
      <w:pPr>
        <w:rPr>
          <w:rFonts w:ascii="Calibri" w:eastAsiaTheme="minorHAnsi" w:hAnsi="Calibri" w:cs="Calibri"/>
          <w:color w:val="000000"/>
        </w:rPr>
      </w:pPr>
    </w:p>
    <w:p w14:paraId="58DA3D80" w14:textId="40654E47" w:rsidR="00A15003" w:rsidRDefault="00587F25" w:rsidP="00587F25">
      <w:pPr>
        <w:rPr>
          <w:rFonts w:ascii="Calibri" w:eastAsia="Calibri" w:hAnsi="Calibri" w:cs="Calibri"/>
        </w:rPr>
      </w:pPr>
      <w:r w:rsidRPr="00EA6DD1">
        <w:rPr>
          <w:rFonts w:ascii="Calibri" w:eastAsiaTheme="minorHAnsi" w:hAnsi="Calibri" w:cs="Calibri"/>
          <w:color w:val="000000" w:themeColor="text1"/>
        </w:rPr>
        <w:t>Stakeholders at the 2022</w:t>
      </w:r>
      <w:r w:rsidR="00E520EB" w:rsidRPr="00EA6DD1">
        <w:rPr>
          <w:rFonts w:ascii="Calibri" w:eastAsiaTheme="minorHAnsi" w:hAnsi="Calibri" w:cs="Calibri"/>
          <w:color w:val="000000" w:themeColor="text1"/>
        </w:rPr>
        <w:t xml:space="preserve"> TIPQC Annual meeting selected the </w:t>
      </w:r>
      <w:r w:rsidRPr="00EA6DD1">
        <w:rPr>
          <w:rFonts w:ascii="Calibri" w:eastAsiaTheme="minorHAnsi" w:hAnsi="Calibri" w:cs="Calibri"/>
          <w:color w:val="000000" w:themeColor="text1"/>
        </w:rPr>
        <w:t xml:space="preserve">promotion of vaginal delivery (PVD) </w:t>
      </w:r>
      <w:r w:rsidR="00E520EB" w:rsidRPr="00EA6DD1">
        <w:rPr>
          <w:rFonts w:ascii="Calibri" w:eastAsiaTheme="minorHAnsi" w:hAnsi="Calibri" w:cs="Calibri"/>
          <w:color w:val="000000" w:themeColor="text1"/>
        </w:rPr>
        <w:t>project</w:t>
      </w:r>
      <w:r w:rsidRPr="00EA6DD1">
        <w:rPr>
          <w:rFonts w:ascii="Calibri" w:eastAsiaTheme="minorHAnsi" w:hAnsi="Calibri" w:cs="Calibri"/>
          <w:color w:val="000000" w:themeColor="text1"/>
        </w:rPr>
        <w:t xml:space="preserve"> as the focus of 2022</w:t>
      </w:r>
      <w:r w:rsidR="000938B7" w:rsidRPr="00EA6DD1">
        <w:rPr>
          <w:rFonts w:ascii="Calibri" w:eastAsiaTheme="minorHAnsi" w:hAnsi="Calibri" w:cs="Calibri"/>
          <w:color w:val="000000" w:themeColor="text1"/>
        </w:rPr>
        <w:t xml:space="preserve"> Quality improvement efforts</w:t>
      </w:r>
      <w:r w:rsidR="00E520EB" w:rsidRPr="00EA6DD1">
        <w:rPr>
          <w:rFonts w:ascii="Calibri" w:eastAsiaTheme="minorHAnsi" w:hAnsi="Calibri" w:cs="Calibri"/>
          <w:color w:val="000000" w:themeColor="text1"/>
        </w:rPr>
        <w:t>. Participating institutions will agree to the following: implementing the project as designed, collecting, and submitting the monthly data in a timely manner, and participating in monthly webinars</w:t>
      </w:r>
      <w:r w:rsidR="00C70778" w:rsidRPr="00EA6DD1">
        <w:rPr>
          <w:rFonts w:ascii="Calibri" w:eastAsiaTheme="minorHAnsi" w:hAnsi="Calibri" w:cs="Calibri"/>
          <w:color w:val="000000" w:themeColor="text1"/>
        </w:rPr>
        <w:t xml:space="preserve"> (conferences)</w:t>
      </w:r>
      <w:r w:rsidR="00E520EB" w:rsidRPr="00EA6DD1">
        <w:rPr>
          <w:rFonts w:ascii="Calibri" w:eastAsiaTheme="minorHAnsi" w:hAnsi="Calibri" w:cs="Calibri"/>
          <w:color w:val="000000" w:themeColor="text1"/>
        </w:rPr>
        <w:t xml:space="preserve"> and statewide meetings.</w:t>
      </w:r>
      <w:r w:rsidR="00E520EB" w:rsidRPr="00EA6DD1">
        <w:rPr>
          <w:rFonts w:ascii="Calibri" w:eastAsiaTheme="minorHAnsi" w:hAnsi="Calibri" w:cs="Calibri"/>
          <w:color w:val="000000"/>
        </w:rPr>
        <w:t xml:space="preserve"> </w:t>
      </w:r>
      <w:r w:rsidR="00E520EB" w:rsidRPr="00EA6DD1">
        <w:rPr>
          <w:rFonts w:ascii="Calibri" w:eastAsiaTheme="minorHAnsi" w:hAnsi="Calibri" w:cs="Calibri"/>
          <w:color w:val="000000" w:themeColor="text1"/>
        </w:rPr>
        <w:t>The TIPQC Maternal Arm</w:t>
      </w:r>
      <w:r w:rsidR="000938B7" w:rsidRPr="00EA6DD1">
        <w:rPr>
          <w:rFonts w:ascii="Calibri" w:eastAsiaTheme="minorHAnsi" w:hAnsi="Calibri" w:cs="Calibri"/>
          <w:color w:val="000000" w:themeColor="text1"/>
        </w:rPr>
        <w:t>’s</w:t>
      </w:r>
      <w:r w:rsidR="00E520EB" w:rsidRPr="00EA6DD1">
        <w:rPr>
          <w:rFonts w:ascii="Calibri" w:eastAsiaTheme="minorHAnsi" w:hAnsi="Calibri" w:cs="Calibri"/>
          <w:color w:val="000000" w:themeColor="text1"/>
        </w:rPr>
        <w:t xml:space="preserve"> goals are to work with the medical leaders across the state to implement policies, procedures, and protocols in delivering facilities within the state of Tennessee.  </w:t>
      </w:r>
    </w:p>
    <w:p w14:paraId="0978E159" w14:textId="77777777" w:rsidR="00B51BDA" w:rsidRPr="00B51BDA" w:rsidRDefault="00B51BDA" w:rsidP="00587F25">
      <w:pPr>
        <w:rPr>
          <w:rFonts w:ascii="Calibri" w:eastAsia="Calibri" w:hAnsi="Calibri" w:cs="Calibri"/>
        </w:rPr>
      </w:pPr>
    </w:p>
    <w:p w14:paraId="012904BE" w14:textId="77777777" w:rsidR="008E68C8" w:rsidRPr="00EA6DD1" w:rsidRDefault="008E68C8" w:rsidP="00A15003">
      <w:pPr>
        <w:tabs>
          <w:tab w:val="left" w:pos="680"/>
        </w:tabs>
        <w:jc w:val="center"/>
        <w:rPr>
          <w:rFonts w:ascii="Calibri" w:hAnsi="Calibri" w:cs="Calibri"/>
          <w:b/>
        </w:rPr>
      </w:pPr>
      <w:r w:rsidRPr="00EA6DD1">
        <w:rPr>
          <w:rFonts w:ascii="Calibri" w:hAnsi="Calibri" w:cs="Calibri"/>
          <w:b/>
        </w:rPr>
        <w:t>TOOLKIT</w:t>
      </w:r>
    </w:p>
    <w:p w14:paraId="1DA7AF2E" w14:textId="77777777" w:rsidR="00C70778" w:rsidRPr="00EA6DD1" w:rsidRDefault="00C70778" w:rsidP="00A15003">
      <w:pPr>
        <w:tabs>
          <w:tab w:val="left" w:pos="680"/>
        </w:tabs>
        <w:jc w:val="center"/>
        <w:rPr>
          <w:rFonts w:ascii="Calibri" w:hAnsi="Calibri" w:cs="Calibri"/>
          <w:b/>
        </w:rPr>
      </w:pPr>
    </w:p>
    <w:p w14:paraId="42D35D37" w14:textId="70877EDC" w:rsidR="00417409" w:rsidRPr="00EA6DD1" w:rsidRDefault="008E68C8" w:rsidP="00B51BDA">
      <w:pPr>
        <w:tabs>
          <w:tab w:val="left" w:pos="680"/>
        </w:tabs>
        <w:rPr>
          <w:rFonts w:ascii="Calibri" w:hAnsi="Calibri" w:cs="Calibri"/>
        </w:rPr>
      </w:pPr>
      <w:r w:rsidRPr="00EA6DD1">
        <w:rPr>
          <w:rFonts w:ascii="Calibri" w:hAnsi="Calibri" w:cs="Calibri"/>
        </w:rPr>
        <w:t>See “Appendices</w:t>
      </w:r>
      <w:r w:rsidR="007D2047" w:rsidRPr="00EA6DD1">
        <w:rPr>
          <w:rFonts w:ascii="Calibri" w:hAnsi="Calibri" w:cs="Calibri"/>
        </w:rPr>
        <w:t>.”</w:t>
      </w:r>
      <w:r w:rsidRPr="00EA6DD1">
        <w:rPr>
          <w:rFonts w:ascii="Calibri" w:hAnsi="Calibri" w:cs="Calibri"/>
        </w:rPr>
        <w:t xml:space="preserve">  In addition, the maternal </w:t>
      </w:r>
      <w:r w:rsidR="00BB20EA" w:rsidRPr="00EA6DD1">
        <w:rPr>
          <w:rFonts w:ascii="Calibri" w:hAnsi="Calibri" w:cs="Calibri"/>
        </w:rPr>
        <w:t>PVD</w:t>
      </w:r>
      <w:r w:rsidRPr="00EA6DD1">
        <w:rPr>
          <w:rFonts w:ascii="Calibri" w:hAnsi="Calibri" w:cs="Calibri"/>
        </w:rPr>
        <w:t xml:space="preserve"> teams will be utilizing resources in the AIM Bundle.</w:t>
      </w:r>
    </w:p>
    <w:p w14:paraId="1B3628C1" w14:textId="77777777" w:rsidR="00C70778" w:rsidRPr="00EA6DD1" w:rsidRDefault="00C70778" w:rsidP="00B24FDD">
      <w:pPr>
        <w:tabs>
          <w:tab w:val="left" w:pos="680"/>
        </w:tabs>
        <w:rPr>
          <w:rFonts w:ascii="Calibri" w:hAnsi="Calibri" w:cs="Calibri"/>
          <w:b/>
          <w:caps/>
        </w:rPr>
      </w:pPr>
    </w:p>
    <w:p w14:paraId="42A9DAD4" w14:textId="77777777" w:rsidR="00F46710" w:rsidRPr="00EA6DD1" w:rsidRDefault="00F46710" w:rsidP="00F46710">
      <w:pPr>
        <w:jc w:val="center"/>
        <w:rPr>
          <w:rFonts w:ascii="Calibri" w:hAnsi="Calibri" w:cs="Calibri"/>
          <w:b/>
          <w:caps/>
        </w:rPr>
      </w:pPr>
      <w:r w:rsidRPr="00B51BDA">
        <w:rPr>
          <w:rFonts w:ascii="Calibri" w:hAnsi="Calibri" w:cs="Calibri"/>
          <w:b/>
          <w:caps/>
        </w:rPr>
        <w:t>Data COLLECTIOn &amp; REPORTS</w:t>
      </w:r>
    </w:p>
    <w:p w14:paraId="093CCEFC" w14:textId="77777777" w:rsidR="00F46710" w:rsidRPr="00EA6DD1" w:rsidRDefault="00F46710" w:rsidP="00F46710">
      <w:pPr>
        <w:jc w:val="center"/>
        <w:rPr>
          <w:rFonts w:ascii="Calibri" w:hAnsi="Calibri" w:cs="Calibri"/>
          <w:b/>
          <w:caps/>
        </w:rPr>
      </w:pPr>
    </w:p>
    <w:p w14:paraId="7CDD5676" w14:textId="77777777" w:rsidR="00F46710" w:rsidRPr="00EA6DD1" w:rsidRDefault="00F46710" w:rsidP="00F46710">
      <w:pPr>
        <w:rPr>
          <w:rFonts w:ascii="Calibri" w:hAnsi="Calibri" w:cs="Calibri"/>
        </w:rPr>
      </w:pPr>
      <w:r w:rsidRPr="00EA6DD1">
        <w:rPr>
          <w:rFonts w:ascii="Calibri" w:hAnsi="Calibri" w:cs="Calibri"/>
        </w:rPr>
        <w:t xml:space="preserve">Participating teams will be capturing the </w:t>
      </w:r>
      <w:r>
        <w:rPr>
          <w:rFonts w:ascii="Calibri" w:hAnsi="Calibri" w:cs="Calibri"/>
        </w:rPr>
        <w:t>defined Outcome, Process, and Structure Measures in the AIM Data Center.</w:t>
      </w:r>
      <w:r w:rsidRPr="00EA6DD1">
        <w:rPr>
          <w:rFonts w:ascii="Calibri" w:hAnsi="Calibri" w:cs="Calibri"/>
        </w:rPr>
        <w:t xml:space="preserve"> </w:t>
      </w:r>
      <w:r>
        <w:rPr>
          <w:rFonts w:ascii="Calibri" w:hAnsi="Calibri" w:cs="Calibri"/>
        </w:rPr>
        <w:t xml:space="preserve"> </w:t>
      </w:r>
      <w:r w:rsidRPr="00564737">
        <w:rPr>
          <w:rFonts w:ascii="Calibri" w:hAnsi="Calibri" w:cs="Calibri"/>
        </w:rPr>
        <w:t xml:space="preserve">The AIM Data Center is a secure online system used to capture data from every state participating in any of the AIM maternal safety bundles. </w:t>
      </w:r>
      <w:r>
        <w:rPr>
          <w:rFonts w:ascii="Calibri" w:hAnsi="Calibri" w:cs="Calibri"/>
        </w:rPr>
        <w:t xml:space="preserve">Specific team </w:t>
      </w:r>
      <w:proofErr w:type="gramStart"/>
      <w:r>
        <w:rPr>
          <w:rFonts w:ascii="Calibri" w:hAnsi="Calibri" w:cs="Calibri"/>
        </w:rPr>
        <w:t>member’s</w:t>
      </w:r>
      <w:proofErr w:type="gramEnd"/>
      <w:r>
        <w:rPr>
          <w:rFonts w:ascii="Calibri" w:hAnsi="Calibri" w:cs="Calibri"/>
        </w:rPr>
        <w:t xml:space="preserve"> from each hospital </w:t>
      </w:r>
      <w:r w:rsidRPr="00564737">
        <w:rPr>
          <w:rFonts w:ascii="Calibri" w:hAnsi="Calibri" w:cs="Calibri"/>
        </w:rPr>
        <w:t xml:space="preserve">will be granted access to the Data Center. </w:t>
      </w:r>
      <w:r>
        <w:rPr>
          <w:rFonts w:ascii="Calibri" w:hAnsi="Calibri" w:cs="Calibri"/>
        </w:rPr>
        <w:t xml:space="preserve">They </w:t>
      </w:r>
      <w:r w:rsidRPr="00564737">
        <w:rPr>
          <w:rFonts w:ascii="Calibri" w:hAnsi="Calibri" w:cs="Calibri"/>
        </w:rPr>
        <w:t xml:space="preserve">will be responsible for entering </w:t>
      </w:r>
      <w:r>
        <w:rPr>
          <w:rFonts w:ascii="Calibri" w:hAnsi="Calibri" w:cs="Calibri"/>
        </w:rPr>
        <w:t xml:space="preserve">their </w:t>
      </w:r>
      <w:r w:rsidRPr="00564737">
        <w:rPr>
          <w:rFonts w:ascii="Calibri" w:hAnsi="Calibri" w:cs="Calibri"/>
        </w:rPr>
        <w:t xml:space="preserve">team’s </w:t>
      </w:r>
      <w:r>
        <w:rPr>
          <w:rFonts w:ascii="Calibri" w:hAnsi="Calibri" w:cs="Calibri"/>
        </w:rPr>
        <w:t>outcome, process, and structure measures</w:t>
      </w:r>
      <w:r w:rsidRPr="00564737">
        <w:rPr>
          <w:rFonts w:ascii="Calibri" w:hAnsi="Calibri" w:cs="Calibri"/>
        </w:rPr>
        <w:t xml:space="preserve">. The identity of each participating hospital is masked in the Data Center – only TIPQC and each participating hospital will know the identity of each masked hospital. Each participating hospital will be able to generate any number of reports in the Data Center on their data. </w:t>
      </w:r>
      <w:r>
        <w:rPr>
          <w:rFonts w:ascii="Calibri" w:hAnsi="Calibri" w:cs="Calibri"/>
        </w:rPr>
        <w:t xml:space="preserve"> C</w:t>
      </w:r>
      <w:r w:rsidRPr="00EA6DD1">
        <w:rPr>
          <w:rFonts w:ascii="Calibri" w:hAnsi="Calibri" w:cs="Calibri"/>
        </w:rPr>
        <w:t>apture of the defined measures in the AIM Data Center is required for participation in this Maternal Safety Bundle.</w:t>
      </w:r>
    </w:p>
    <w:p w14:paraId="524AE08E" w14:textId="77777777" w:rsidR="00F46710" w:rsidRPr="00EA6DD1" w:rsidRDefault="00F46710" w:rsidP="00F46710">
      <w:pPr>
        <w:rPr>
          <w:rFonts w:ascii="Calibri" w:hAnsi="Calibri" w:cs="Calibri"/>
        </w:rPr>
      </w:pPr>
    </w:p>
    <w:p w14:paraId="1D9592D0" w14:textId="77777777" w:rsidR="00F46710" w:rsidRPr="00EA6DD1" w:rsidRDefault="00F46710" w:rsidP="00F46710">
      <w:pPr>
        <w:rPr>
          <w:rFonts w:ascii="Calibri" w:hAnsi="Calibri" w:cs="Calibri"/>
        </w:rPr>
      </w:pPr>
    </w:p>
    <w:p w14:paraId="0E2DE645" w14:textId="77777777" w:rsidR="00F46710" w:rsidRPr="00EA6DD1" w:rsidRDefault="00F46710" w:rsidP="00F46710">
      <w:pPr>
        <w:rPr>
          <w:rFonts w:ascii="Calibri" w:hAnsi="Calibri" w:cs="Calibri"/>
        </w:rPr>
      </w:pPr>
      <w:r>
        <w:rPr>
          <w:rFonts w:ascii="Calibri" w:hAnsi="Calibri" w:cs="Calibri"/>
        </w:rPr>
        <w:t xml:space="preserve">Additional Severe Maternal Morbidity (SMM) outcome measures are also required to be captured in the AIM Data Center for participation. This data </w:t>
      </w:r>
      <w:r w:rsidRPr="00EA6DD1">
        <w:rPr>
          <w:rFonts w:ascii="Calibri" w:hAnsi="Calibri" w:cs="Calibri"/>
        </w:rPr>
        <w:t>will be calculated by the Tennessee Hospital Association (THA) for each participating hospital team using specific ICD-10 codes pulled from claims data. TIPQC will receive the tallied counts from THA (on a 2-quarter lag basis) and upload them into the AIM Data Center on behalf of each participating hospital. TIPQC will provide THA with the list of participating hospitals. The participating hospital teams have granted permission for THA to calculate the required measures and for TIPQC to submit the measures to the AIM Data Center. TIPQC will label each participating hospital teams’ data with their masked identifier prior to uploading.</w:t>
      </w:r>
    </w:p>
    <w:p w14:paraId="0FB4B490" w14:textId="77777777" w:rsidR="00151F22" w:rsidRPr="00EA6DD1" w:rsidRDefault="00151F22" w:rsidP="00A15003">
      <w:pPr>
        <w:rPr>
          <w:rFonts w:ascii="Calibri" w:hAnsi="Calibri" w:cs="Calibri"/>
        </w:rPr>
      </w:pPr>
    </w:p>
    <w:p w14:paraId="227FC1AB" w14:textId="77777777" w:rsidR="008E68C8" w:rsidRPr="00EA6DD1" w:rsidRDefault="008E68C8" w:rsidP="00A15003">
      <w:pPr>
        <w:rPr>
          <w:rFonts w:ascii="Calibri" w:hAnsi="Calibri" w:cs="Calibri"/>
        </w:rPr>
      </w:pPr>
    </w:p>
    <w:p w14:paraId="1A35904B" w14:textId="77777777" w:rsidR="008E68C8" w:rsidRPr="00EA6DD1" w:rsidRDefault="008E68C8" w:rsidP="00A15003">
      <w:pPr>
        <w:jc w:val="center"/>
        <w:rPr>
          <w:rFonts w:ascii="Calibri" w:hAnsi="Calibri" w:cs="Calibri"/>
          <w:b/>
          <w:caps/>
        </w:rPr>
      </w:pPr>
      <w:r w:rsidRPr="00EA6DD1">
        <w:rPr>
          <w:rFonts w:ascii="Calibri" w:hAnsi="Calibri" w:cs="Calibri"/>
          <w:b/>
          <w:caps/>
        </w:rPr>
        <w:t>Record Retention</w:t>
      </w:r>
    </w:p>
    <w:p w14:paraId="13ED588D" w14:textId="77777777" w:rsidR="00C70778" w:rsidRPr="00EA6DD1" w:rsidRDefault="00C70778" w:rsidP="00A15003">
      <w:pPr>
        <w:jc w:val="center"/>
        <w:rPr>
          <w:rFonts w:ascii="Calibri" w:hAnsi="Calibri" w:cs="Calibri"/>
          <w:b/>
          <w:caps/>
        </w:rPr>
      </w:pPr>
    </w:p>
    <w:p w14:paraId="136AE1C2" w14:textId="77777777" w:rsidR="008E68C8" w:rsidRPr="00EA6DD1" w:rsidRDefault="008E68C8" w:rsidP="00A15003">
      <w:pPr>
        <w:rPr>
          <w:rFonts w:ascii="Calibri" w:hAnsi="Calibri" w:cs="Calibri"/>
        </w:rPr>
      </w:pPr>
      <w:r w:rsidRPr="00EA6DD1">
        <w:rPr>
          <w:rFonts w:ascii="Calibri" w:hAnsi="Calibri" w:cs="Calibri"/>
        </w:rPr>
        <w:t>Record retention described in the TIPQC Framework protocol will be followed.</w:t>
      </w:r>
    </w:p>
    <w:p w14:paraId="06637C5D" w14:textId="77777777" w:rsidR="00C70778" w:rsidRPr="00EA6DD1" w:rsidRDefault="00C70778" w:rsidP="00A15003">
      <w:pPr>
        <w:rPr>
          <w:rFonts w:ascii="Calibri" w:hAnsi="Calibri" w:cs="Calibri"/>
        </w:rPr>
      </w:pPr>
    </w:p>
    <w:p w14:paraId="31A6A7B2" w14:textId="77777777" w:rsidR="008E68C8" w:rsidRPr="00EA6DD1" w:rsidRDefault="008E68C8" w:rsidP="00A15003">
      <w:pPr>
        <w:rPr>
          <w:rFonts w:ascii="Calibri" w:hAnsi="Calibri" w:cs="Calibri"/>
        </w:rPr>
      </w:pPr>
    </w:p>
    <w:p w14:paraId="617C1C12" w14:textId="77777777" w:rsidR="008E68C8" w:rsidRPr="00EA6DD1" w:rsidRDefault="008E68C8" w:rsidP="00A15003">
      <w:pPr>
        <w:jc w:val="center"/>
        <w:rPr>
          <w:rFonts w:ascii="Calibri" w:hAnsi="Calibri" w:cs="Calibri"/>
          <w:b/>
          <w:caps/>
        </w:rPr>
      </w:pPr>
      <w:r w:rsidRPr="00EA6DD1">
        <w:rPr>
          <w:rFonts w:ascii="Calibri" w:hAnsi="Calibri" w:cs="Calibri"/>
          <w:b/>
          <w:caps/>
        </w:rPr>
        <w:t>Recruitment of Participating Institutions</w:t>
      </w:r>
    </w:p>
    <w:p w14:paraId="714DD885" w14:textId="77777777" w:rsidR="00C70778" w:rsidRPr="00EA6DD1" w:rsidRDefault="00C70778" w:rsidP="00A15003">
      <w:pPr>
        <w:jc w:val="center"/>
        <w:rPr>
          <w:rFonts w:ascii="Calibri" w:hAnsi="Calibri" w:cs="Calibri"/>
          <w:b/>
          <w:caps/>
        </w:rPr>
      </w:pPr>
    </w:p>
    <w:p w14:paraId="52785B6E" w14:textId="77777777" w:rsidR="008E68C8" w:rsidRPr="00EA6DD1" w:rsidRDefault="008E68C8" w:rsidP="00A15003">
      <w:pPr>
        <w:widowControl w:val="0"/>
        <w:autoSpaceDE w:val="0"/>
        <w:autoSpaceDN w:val="0"/>
        <w:adjustRightInd w:val="0"/>
        <w:rPr>
          <w:rFonts w:ascii="Calibri" w:hAnsi="Calibri" w:cs="Calibri"/>
        </w:rPr>
      </w:pPr>
      <w:r w:rsidRPr="00EA6DD1">
        <w:rPr>
          <w:rFonts w:ascii="Calibri" w:hAnsi="Calibri" w:cs="Calibri"/>
        </w:rPr>
        <w:t>The recruitment strategy described in the TIPQC Framework protocol will be used.</w:t>
      </w:r>
    </w:p>
    <w:p w14:paraId="736DBB62" w14:textId="77777777" w:rsidR="00A15003" w:rsidRPr="00EA6DD1" w:rsidRDefault="00A15003" w:rsidP="00A15003">
      <w:pPr>
        <w:widowControl w:val="0"/>
        <w:autoSpaceDE w:val="0"/>
        <w:autoSpaceDN w:val="0"/>
        <w:adjustRightInd w:val="0"/>
        <w:rPr>
          <w:rFonts w:ascii="Calibri" w:hAnsi="Calibri" w:cs="Calibri"/>
        </w:rPr>
      </w:pPr>
    </w:p>
    <w:p w14:paraId="4F95E45A" w14:textId="77777777" w:rsidR="008E68C8" w:rsidRPr="00EA6DD1" w:rsidRDefault="008E68C8" w:rsidP="00A15003">
      <w:pPr>
        <w:tabs>
          <w:tab w:val="left" w:pos="680"/>
        </w:tabs>
        <w:jc w:val="center"/>
        <w:rPr>
          <w:rFonts w:ascii="Calibri" w:hAnsi="Calibri" w:cs="Calibri"/>
        </w:rPr>
      </w:pPr>
    </w:p>
    <w:p w14:paraId="4466303B" w14:textId="77777777" w:rsidR="008E68C8" w:rsidRPr="00EA6DD1" w:rsidRDefault="008E68C8" w:rsidP="00A15003">
      <w:pPr>
        <w:jc w:val="center"/>
        <w:rPr>
          <w:rFonts w:ascii="Calibri" w:hAnsi="Calibri" w:cs="Calibri"/>
          <w:b/>
          <w:caps/>
        </w:rPr>
      </w:pPr>
      <w:r w:rsidRPr="00EA6DD1">
        <w:rPr>
          <w:rFonts w:ascii="Calibri" w:hAnsi="Calibri" w:cs="Calibri"/>
          <w:b/>
          <w:caps/>
        </w:rPr>
        <w:t>Procedures for Participating Institutions</w:t>
      </w:r>
    </w:p>
    <w:p w14:paraId="1F55119D" w14:textId="77777777" w:rsidR="00C70778" w:rsidRPr="00EA6DD1" w:rsidRDefault="00C70778" w:rsidP="00A15003">
      <w:pPr>
        <w:jc w:val="center"/>
        <w:rPr>
          <w:rFonts w:ascii="Calibri" w:hAnsi="Calibri" w:cs="Calibri"/>
          <w:b/>
          <w:caps/>
        </w:rPr>
      </w:pPr>
    </w:p>
    <w:p w14:paraId="1D918722" w14:textId="12C4ADB1" w:rsidR="008E68C8" w:rsidRPr="00EA6DD1" w:rsidRDefault="008E68C8" w:rsidP="00A15003">
      <w:pPr>
        <w:widowControl w:val="0"/>
        <w:autoSpaceDE w:val="0"/>
        <w:autoSpaceDN w:val="0"/>
        <w:adjustRightInd w:val="0"/>
        <w:rPr>
          <w:rFonts w:ascii="Calibri" w:hAnsi="Calibri" w:cs="Calibri"/>
        </w:rPr>
      </w:pPr>
      <w:r w:rsidRPr="00EA6DD1">
        <w:rPr>
          <w:rFonts w:ascii="Calibri" w:hAnsi="Calibri" w:cs="Calibri"/>
        </w:rPr>
        <w:t>The data procedures described in the TIPQC Framework protocol will be used</w:t>
      </w:r>
      <w:r w:rsidR="007D2047" w:rsidRPr="00EA6DD1">
        <w:rPr>
          <w:rFonts w:ascii="Calibri" w:hAnsi="Calibri" w:cs="Calibri"/>
        </w:rPr>
        <w:t xml:space="preserve">. </w:t>
      </w:r>
      <w:r w:rsidRPr="00EA6DD1">
        <w:rPr>
          <w:rFonts w:ascii="Calibri" w:hAnsi="Calibri" w:cs="Calibri"/>
        </w:rPr>
        <w:t>From the protocol: “Each team will be encouraged to develop procedures to support project implementation, data reporting, and change analysis by the local project team</w:t>
      </w:r>
      <w:r w:rsidR="007D2047" w:rsidRPr="00EA6DD1">
        <w:rPr>
          <w:rFonts w:ascii="Calibri" w:hAnsi="Calibri" w:cs="Calibri"/>
        </w:rPr>
        <w:t xml:space="preserve">. </w:t>
      </w:r>
      <w:r w:rsidRPr="00EA6DD1">
        <w:rPr>
          <w:rFonts w:ascii="Calibri" w:hAnsi="Calibri" w:cs="Calibri"/>
        </w:rPr>
        <w:t xml:space="preserve">Substantial local latitude is provided to allow flexibility for integration of TIPQC activities into local workflow and </w:t>
      </w:r>
      <w:r w:rsidRPr="00EA6DD1">
        <w:rPr>
          <w:rFonts w:ascii="Calibri" w:hAnsi="Calibri" w:cs="Calibri"/>
        </w:rPr>
        <w:lastRenderedPageBreak/>
        <w:t>schedules, though a minimum frequency and timeliness of data entry is required and is outlined in the project application and data agreement</w:t>
      </w:r>
      <w:r w:rsidR="007D2047" w:rsidRPr="00EA6DD1">
        <w:rPr>
          <w:rFonts w:ascii="Calibri" w:hAnsi="Calibri" w:cs="Calibri"/>
        </w:rPr>
        <w:t xml:space="preserve">. </w:t>
      </w:r>
      <w:r w:rsidRPr="00EA6DD1">
        <w:rPr>
          <w:rFonts w:ascii="Calibri" w:hAnsi="Calibri" w:cs="Calibri"/>
        </w:rPr>
        <w:t>In this all-voluntary collaborative, multiple data reporting systems and paradigms will be supported to facilitate the broadest possible participation.”</w:t>
      </w:r>
    </w:p>
    <w:p w14:paraId="2AB8967C" w14:textId="77777777" w:rsidR="00343651" w:rsidRPr="00EA6DD1" w:rsidRDefault="00343651" w:rsidP="00A15003">
      <w:pPr>
        <w:rPr>
          <w:rFonts w:ascii="Calibri" w:hAnsi="Calibri" w:cs="Calibri"/>
        </w:rPr>
      </w:pPr>
    </w:p>
    <w:p w14:paraId="67A7CECD" w14:textId="77777777" w:rsidR="008E68C8" w:rsidRPr="00EA6DD1" w:rsidRDefault="008E68C8" w:rsidP="00A15003">
      <w:pPr>
        <w:jc w:val="center"/>
        <w:rPr>
          <w:rFonts w:ascii="Calibri" w:hAnsi="Calibri" w:cs="Calibri"/>
          <w:b/>
          <w:caps/>
        </w:rPr>
      </w:pPr>
      <w:r w:rsidRPr="00EA6DD1">
        <w:rPr>
          <w:rFonts w:ascii="Calibri" w:hAnsi="Calibri" w:cs="Calibri"/>
          <w:b/>
          <w:caps/>
        </w:rPr>
        <w:t>Training Plan for Participating Institutions</w:t>
      </w:r>
    </w:p>
    <w:p w14:paraId="2BB56B4F" w14:textId="77777777" w:rsidR="00C70778" w:rsidRPr="00EA6DD1" w:rsidRDefault="00C70778" w:rsidP="00A15003">
      <w:pPr>
        <w:jc w:val="center"/>
        <w:rPr>
          <w:rFonts w:ascii="Calibri" w:hAnsi="Calibri" w:cs="Calibri"/>
          <w:b/>
          <w:caps/>
        </w:rPr>
      </w:pPr>
    </w:p>
    <w:p w14:paraId="16F7FB89" w14:textId="77777777" w:rsidR="00F91109" w:rsidRDefault="00F91109" w:rsidP="00F91109">
      <w:pPr>
        <w:rPr>
          <w:rFonts w:ascii="Calibri" w:hAnsi="Calibri" w:cs="Calibri"/>
        </w:rPr>
      </w:pPr>
      <w:r w:rsidRPr="00EA6DD1">
        <w:rPr>
          <w:rFonts w:ascii="Calibri" w:hAnsi="Calibri" w:cs="Calibri"/>
        </w:rPr>
        <w:t xml:space="preserve">In addition to the TIPQC Framework protocol, teams will be offered additional training at the TIPQC Annual Meeting in March 2023. </w:t>
      </w:r>
    </w:p>
    <w:p w14:paraId="7F3E044A" w14:textId="77777777" w:rsidR="00343651" w:rsidRPr="00EA6DD1" w:rsidRDefault="00343651" w:rsidP="00587F25">
      <w:pPr>
        <w:rPr>
          <w:rFonts w:ascii="Calibri" w:hAnsi="Calibri" w:cs="Calibri"/>
        </w:rPr>
      </w:pPr>
    </w:p>
    <w:p w14:paraId="07884EC6" w14:textId="77777777" w:rsidR="008E68C8" w:rsidRPr="00EA6DD1" w:rsidRDefault="008E68C8" w:rsidP="00A15003">
      <w:pPr>
        <w:jc w:val="center"/>
        <w:rPr>
          <w:rFonts w:ascii="Calibri" w:hAnsi="Calibri" w:cs="Calibri"/>
          <w:b/>
          <w:caps/>
        </w:rPr>
      </w:pPr>
      <w:r w:rsidRPr="00EA6DD1">
        <w:rPr>
          <w:rFonts w:ascii="Calibri" w:hAnsi="Calibri" w:cs="Calibri"/>
          <w:b/>
          <w:caps/>
        </w:rPr>
        <w:t>Duration of the Project</w:t>
      </w:r>
    </w:p>
    <w:p w14:paraId="1342BB54" w14:textId="77777777" w:rsidR="00C70778" w:rsidRPr="00EA6DD1" w:rsidRDefault="00C70778" w:rsidP="00A15003">
      <w:pPr>
        <w:jc w:val="center"/>
        <w:rPr>
          <w:rFonts w:ascii="Calibri" w:hAnsi="Calibri" w:cs="Calibri"/>
        </w:rPr>
      </w:pPr>
    </w:p>
    <w:p w14:paraId="02193E3E" w14:textId="7D1F17CF" w:rsidR="008E68C8" w:rsidRPr="00EA6DD1" w:rsidRDefault="008E68C8" w:rsidP="00A15003">
      <w:pPr>
        <w:widowControl w:val="0"/>
        <w:autoSpaceDE w:val="0"/>
        <w:autoSpaceDN w:val="0"/>
        <w:adjustRightInd w:val="0"/>
        <w:rPr>
          <w:rFonts w:ascii="Calibri" w:hAnsi="Calibri" w:cs="Calibri"/>
        </w:rPr>
      </w:pPr>
      <w:r w:rsidRPr="00EA6DD1">
        <w:rPr>
          <w:rFonts w:ascii="Calibri" w:hAnsi="Calibri" w:cs="Calibri"/>
        </w:rPr>
        <w:t>Several pilot teams will begin implementation for several months prior to the project kickoff for all teams</w:t>
      </w:r>
      <w:r w:rsidR="007D2047" w:rsidRPr="00EA6DD1">
        <w:rPr>
          <w:rFonts w:ascii="Calibri" w:hAnsi="Calibri" w:cs="Calibri"/>
        </w:rPr>
        <w:t xml:space="preserve">. </w:t>
      </w:r>
      <w:r w:rsidRPr="00EA6DD1">
        <w:rPr>
          <w:rFonts w:ascii="Calibri" w:hAnsi="Calibri" w:cs="Calibri"/>
        </w:rPr>
        <w:t xml:space="preserve">The duration of the project is </w:t>
      </w:r>
      <w:r w:rsidR="00B51BDA">
        <w:rPr>
          <w:rFonts w:ascii="Calibri" w:hAnsi="Calibri" w:cs="Calibri"/>
        </w:rPr>
        <w:t xml:space="preserve">1.5 years.  </w:t>
      </w:r>
      <w:r w:rsidR="007D2047" w:rsidRPr="00EA6DD1">
        <w:rPr>
          <w:rFonts w:ascii="Calibri" w:hAnsi="Calibri" w:cs="Calibri"/>
        </w:rPr>
        <w:t xml:space="preserve"> </w:t>
      </w:r>
      <w:r w:rsidRPr="00EA6DD1">
        <w:rPr>
          <w:rFonts w:ascii="Calibri" w:hAnsi="Calibri" w:cs="Calibri"/>
        </w:rPr>
        <w:t>Participants or the TIPQC membership at large may ask the Oversight Committee to extend the project or use it as a building block for future projects with complimentary endpoints.</w:t>
      </w:r>
    </w:p>
    <w:p w14:paraId="3D78C6A7" w14:textId="77777777" w:rsidR="00C70778" w:rsidRPr="00EA6DD1" w:rsidRDefault="00C70778" w:rsidP="00A15003">
      <w:pPr>
        <w:rPr>
          <w:rFonts w:ascii="Calibri" w:hAnsi="Calibri" w:cs="Calibri"/>
        </w:rPr>
      </w:pPr>
    </w:p>
    <w:p w14:paraId="5D69CDC2" w14:textId="77777777" w:rsidR="00C70778" w:rsidRPr="00EA6DD1" w:rsidRDefault="00C70778" w:rsidP="00A15003">
      <w:pPr>
        <w:rPr>
          <w:rFonts w:ascii="Calibri" w:hAnsi="Calibri" w:cs="Calibri"/>
        </w:rPr>
      </w:pPr>
    </w:p>
    <w:p w14:paraId="3F076431" w14:textId="77777777" w:rsidR="008E68C8" w:rsidRPr="00EA6DD1" w:rsidRDefault="008E68C8" w:rsidP="00A15003">
      <w:pPr>
        <w:jc w:val="center"/>
        <w:rPr>
          <w:rFonts w:ascii="Calibri" w:hAnsi="Calibri" w:cs="Calibri"/>
          <w:b/>
          <w:caps/>
        </w:rPr>
      </w:pPr>
      <w:r w:rsidRPr="00EA6DD1">
        <w:rPr>
          <w:rFonts w:ascii="Calibri" w:hAnsi="Calibri" w:cs="Calibri"/>
          <w:b/>
          <w:caps/>
        </w:rPr>
        <w:t>Role of the TIPQC Oversight Committee</w:t>
      </w:r>
    </w:p>
    <w:p w14:paraId="199B880A" w14:textId="77777777" w:rsidR="00C70778" w:rsidRPr="00EA6DD1" w:rsidRDefault="00C70778" w:rsidP="00A15003">
      <w:pPr>
        <w:jc w:val="center"/>
        <w:rPr>
          <w:rFonts w:ascii="Calibri" w:hAnsi="Calibri" w:cs="Calibri"/>
        </w:rPr>
      </w:pPr>
    </w:p>
    <w:p w14:paraId="7EBEB21C" w14:textId="0A3E2B39" w:rsidR="008E68C8" w:rsidRPr="00EA6DD1" w:rsidRDefault="008E68C8" w:rsidP="00A15003">
      <w:pPr>
        <w:rPr>
          <w:rFonts w:ascii="Calibri" w:hAnsi="Calibri" w:cs="Calibri"/>
        </w:rPr>
      </w:pPr>
      <w:r w:rsidRPr="00EA6DD1">
        <w:rPr>
          <w:rFonts w:ascii="Calibri" w:hAnsi="Calibri" w:cs="Calibri"/>
        </w:rPr>
        <w:t>The critical role of the TIPQC Oversight Committee is not anticipated to change during this QI project</w:t>
      </w:r>
      <w:r w:rsidR="007D2047" w:rsidRPr="00EA6DD1">
        <w:rPr>
          <w:rFonts w:ascii="Calibri" w:hAnsi="Calibri" w:cs="Calibri"/>
        </w:rPr>
        <w:t xml:space="preserve">. </w:t>
      </w:r>
      <w:r w:rsidRPr="00EA6DD1">
        <w:rPr>
          <w:rFonts w:ascii="Calibri" w:hAnsi="Calibri" w:cs="Calibri"/>
        </w:rPr>
        <w:t xml:space="preserve">From the protocol: </w:t>
      </w:r>
    </w:p>
    <w:p w14:paraId="74C3CB23" w14:textId="5AA6FEE9" w:rsidR="008E68C8" w:rsidRPr="00EA6DD1" w:rsidRDefault="008E68C8" w:rsidP="00A15003">
      <w:pPr>
        <w:pStyle w:val="ListParagraph"/>
        <w:numPr>
          <w:ilvl w:val="0"/>
          <w:numId w:val="8"/>
        </w:numPr>
        <w:contextualSpacing w:val="0"/>
        <w:rPr>
          <w:rFonts w:ascii="Calibri" w:hAnsi="Calibri" w:cs="Calibri"/>
        </w:rPr>
      </w:pPr>
      <w:r w:rsidRPr="00EA6DD1">
        <w:rPr>
          <w:rFonts w:ascii="Calibri" w:hAnsi="Calibri" w:cs="Calibri"/>
        </w:rPr>
        <w:t>“Throughout the selection, development, pilot testing, and implementation of a project the TIPQC Oversight Committee plays a vital role</w:t>
      </w:r>
      <w:r w:rsidR="007D2047" w:rsidRPr="00EA6DD1">
        <w:rPr>
          <w:rFonts w:ascii="Calibri" w:hAnsi="Calibri" w:cs="Calibri"/>
        </w:rPr>
        <w:t xml:space="preserve">. </w:t>
      </w:r>
      <w:r w:rsidRPr="00EA6DD1">
        <w:rPr>
          <w:rFonts w:ascii="Calibri" w:hAnsi="Calibri" w:cs="Calibri"/>
        </w:rPr>
        <w:t xml:space="preserve">The Committee oversees the selection process at the state meeting and is tasked with ensuring that stakeholders who are present </w:t>
      </w:r>
      <w:r w:rsidR="00B51BDA" w:rsidRPr="00EA6DD1">
        <w:rPr>
          <w:rFonts w:ascii="Calibri" w:hAnsi="Calibri" w:cs="Calibri"/>
        </w:rPr>
        <w:t>can</w:t>
      </w:r>
      <w:r w:rsidRPr="00EA6DD1">
        <w:rPr>
          <w:rFonts w:ascii="Calibri" w:hAnsi="Calibri" w:cs="Calibri"/>
        </w:rPr>
        <w:t xml:space="preserve"> contribute to the selection process.  Following project development and pilot testing, the pilot toolkit is reviewed and approved by the Oversight Committee. Upon completion of pilot testing and incorporation of pilot directed modifications, the Oversight Committee reviews and approves the final toolkit for release to potential participants.”  </w:t>
      </w:r>
    </w:p>
    <w:p w14:paraId="1654FE5F" w14:textId="51E2017A" w:rsidR="008E68C8" w:rsidRPr="00EA6DD1" w:rsidRDefault="008E68C8" w:rsidP="00A15003">
      <w:pPr>
        <w:pStyle w:val="ListParagraph"/>
        <w:numPr>
          <w:ilvl w:val="0"/>
          <w:numId w:val="8"/>
        </w:numPr>
        <w:contextualSpacing w:val="0"/>
        <w:rPr>
          <w:rFonts w:ascii="Calibri" w:hAnsi="Calibri" w:cs="Calibri"/>
        </w:rPr>
      </w:pPr>
      <w:r w:rsidRPr="00EA6DD1">
        <w:rPr>
          <w:rFonts w:ascii="Calibri" w:hAnsi="Calibri" w:cs="Calibri"/>
        </w:rPr>
        <w:t>“Throughout all phases of the project, the Oversight Committee will be informed of any concerning trends in balancing measures and of any potential safety issues</w:t>
      </w:r>
      <w:r w:rsidR="007D2047" w:rsidRPr="00EA6DD1">
        <w:rPr>
          <w:rFonts w:ascii="Calibri" w:hAnsi="Calibri" w:cs="Calibri"/>
        </w:rPr>
        <w:t xml:space="preserve">. </w:t>
      </w:r>
      <w:r w:rsidRPr="00EA6DD1">
        <w:rPr>
          <w:rFonts w:ascii="Calibri" w:hAnsi="Calibri" w:cs="Calibri"/>
        </w:rPr>
        <w:t>Further the Oversight Committee is empowered to halt any quality improvement project at any time</w:t>
      </w:r>
      <w:r w:rsidR="007D2047" w:rsidRPr="00EA6DD1">
        <w:rPr>
          <w:rFonts w:ascii="Calibri" w:hAnsi="Calibri" w:cs="Calibri"/>
        </w:rPr>
        <w:t xml:space="preserve">. </w:t>
      </w:r>
      <w:r w:rsidRPr="00EA6DD1">
        <w:rPr>
          <w:rFonts w:ascii="Calibri" w:hAnsi="Calibri" w:cs="Calibri"/>
        </w:rPr>
        <w:t>A project will be stopped if a simple majority of the entire Oversight Committee votes to halt the project</w:t>
      </w:r>
      <w:r w:rsidR="007D2047" w:rsidRPr="00EA6DD1">
        <w:rPr>
          <w:rFonts w:ascii="Calibri" w:hAnsi="Calibri" w:cs="Calibri"/>
        </w:rPr>
        <w:t xml:space="preserve">. </w:t>
      </w:r>
      <w:r w:rsidRPr="00EA6DD1">
        <w:rPr>
          <w:rFonts w:ascii="Calibri" w:hAnsi="Calibri" w:cs="Calibri"/>
        </w:rPr>
        <w:t>Should a majority of the Oversight Committee vote to stop a project, a message will be sent to all participating centers directing them to stop the project and data collection will be suspended</w:t>
      </w:r>
      <w:r w:rsidR="007D2047" w:rsidRPr="00EA6DD1">
        <w:rPr>
          <w:rFonts w:ascii="Calibri" w:hAnsi="Calibri" w:cs="Calibri"/>
        </w:rPr>
        <w:t xml:space="preserve">. </w:t>
      </w:r>
      <w:r w:rsidRPr="00EA6DD1">
        <w:rPr>
          <w:rFonts w:ascii="Calibri" w:hAnsi="Calibri" w:cs="Calibri"/>
        </w:rPr>
        <w:t>The message will include both a detailed explanation of the Committee’s concerns and a roll call listing of Committee members votes- yes, no, abstain, or not present</w:t>
      </w:r>
      <w:r w:rsidR="007D2047" w:rsidRPr="00EA6DD1">
        <w:rPr>
          <w:rFonts w:ascii="Calibri" w:hAnsi="Calibri" w:cs="Calibri"/>
        </w:rPr>
        <w:t xml:space="preserve">. </w:t>
      </w:r>
      <w:r w:rsidRPr="00EA6DD1">
        <w:rPr>
          <w:rFonts w:ascii="Calibri" w:hAnsi="Calibri" w:cs="Calibri"/>
        </w:rPr>
        <w:t xml:space="preserve">Given the multiple levels of evidence-based review employed prior to statewide release of the toolkit, early termination of a project by the Oversight Committee is not expected, but a formal mechanism is included should events arise that warrant pausing or halting project participation. </w:t>
      </w:r>
    </w:p>
    <w:p w14:paraId="55AF3157" w14:textId="3E30B155" w:rsidR="008E68C8" w:rsidRPr="00EA6DD1" w:rsidRDefault="008E68C8" w:rsidP="00A15003">
      <w:pPr>
        <w:pStyle w:val="ListParagraph"/>
        <w:numPr>
          <w:ilvl w:val="0"/>
          <w:numId w:val="8"/>
        </w:numPr>
        <w:contextualSpacing w:val="0"/>
        <w:rPr>
          <w:rFonts w:ascii="Calibri" w:hAnsi="Calibri" w:cs="Calibri"/>
        </w:rPr>
      </w:pPr>
      <w:r w:rsidRPr="00EA6DD1">
        <w:rPr>
          <w:rFonts w:ascii="Calibri" w:hAnsi="Calibri" w:cs="Calibri"/>
        </w:rPr>
        <w:t xml:space="preserve">“The Oversight Committee controls extensions of project duration, or changes in progress scope and is charged with balancing the cost vs. value of any proposed </w:t>
      </w:r>
      <w:r w:rsidRPr="00EA6DD1">
        <w:rPr>
          <w:rFonts w:ascii="Calibri" w:hAnsi="Calibri" w:cs="Calibri"/>
        </w:rPr>
        <w:lastRenderedPageBreak/>
        <w:t>extension or change within the confines of the resources and mission of TIPQC</w:t>
      </w:r>
      <w:r w:rsidR="007D2047" w:rsidRPr="00EA6DD1">
        <w:rPr>
          <w:rFonts w:ascii="Calibri" w:hAnsi="Calibri" w:cs="Calibri"/>
        </w:rPr>
        <w:t xml:space="preserve">. </w:t>
      </w:r>
      <w:r w:rsidRPr="00EA6DD1">
        <w:rPr>
          <w:rFonts w:ascii="Calibri" w:hAnsi="Calibri" w:cs="Calibri"/>
        </w:rPr>
        <w:t>The Oversight Committee may vote, again by simple majority, to extend project duration or scope or opt to extend the project until the next state meeting for a general membership vote.”</w:t>
      </w:r>
    </w:p>
    <w:p w14:paraId="5A96A0F3" w14:textId="77777777" w:rsidR="00A15003" w:rsidRPr="00EA6DD1" w:rsidRDefault="00A15003" w:rsidP="00A15003">
      <w:pPr>
        <w:rPr>
          <w:rFonts w:ascii="Calibri" w:hAnsi="Calibri" w:cs="Calibri"/>
          <w:b/>
        </w:rPr>
      </w:pPr>
    </w:p>
    <w:p w14:paraId="73D284F8" w14:textId="1E6DB467" w:rsidR="008E68C8" w:rsidRPr="00EA6DD1" w:rsidRDefault="008E68C8" w:rsidP="00CA38A4">
      <w:pPr>
        <w:rPr>
          <w:rFonts w:ascii="Calibri" w:hAnsi="Calibri" w:cs="Calibri"/>
          <w:b/>
          <w:caps/>
          <w:color w:val="000000" w:themeColor="text1"/>
        </w:rPr>
      </w:pPr>
      <w:r w:rsidRPr="00EA6DD1">
        <w:rPr>
          <w:rFonts w:ascii="Calibri" w:hAnsi="Calibri" w:cs="Calibri"/>
          <w:b/>
          <w:caps/>
          <w:color w:val="000000" w:themeColor="text1"/>
        </w:rPr>
        <w:t>References</w:t>
      </w:r>
    </w:p>
    <w:p w14:paraId="71AE8A6A" w14:textId="5000EAC9" w:rsidR="00DF1ACD" w:rsidRPr="00EA6DD1" w:rsidRDefault="00DF1ACD" w:rsidP="00A15003">
      <w:pPr>
        <w:jc w:val="center"/>
        <w:rPr>
          <w:rFonts w:ascii="Calibri" w:hAnsi="Calibri" w:cs="Calibri"/>
          <w:b/>
          <w:caps/>
          <w:color w:val="000000" w:themeColor="text1"/>
        </w:rPr>
      </w:pPr>
    </w:p>
    <w:p w14:paraId="25B46F2C" w14:textId="77777777" w:rsidR="00AF6C46" w:rsidRPr="00AF6C46" w:rsidRDefault="00AF6C46" w:rsidP="00AF6C46">
      <w:pPr>
        <w:pStyle w:val="ListParagraph"/>
        <w:numPr>
          <w:ilvl w:val="0"/>
          <w:numId w:val="16"/>
        </w:numPr>
        <w:rPr>
          <w:rFonts w:ascii="Calibri" w:hAnsi="Calibri" w:cs="Calibri"/>
        </w:rPr>
      </w:pPr>
      <w:r w:rsidRPr="00AF6C46">
        <w:rPr>
          <w:rFonts w:ascii="Calibri" w:hAnsi="Calibri" w:cs="Calibri"/>
        </w:rPr>
        <w:t xml:space="preserve">Smith H, Peterson N, </w:t>
      </w:r>
      <w:proofErr w:type="spellStart"/>
      <w:r w:rsidRPr="00AF6C46">
        <w:rPr>
          <w:rFonts w:ascii="Calibri" w:hAnsi="Calibri" w:cs="Calibri"/>
        </w:rPr>
        <w:t>Lagrew</w:t>
      </w:r>
      <w:proofErr w:type="spellEnd"/>
      <w:r w:rsidRPr="00AF6C46">
        <w:rPr>
          <w:rFonts w:ascii="Calibri" w:hAnsi="Calibri" w:cs="Calibri"/>
        </w:rPr>
        <w:t xml:space="preserve"> D, Main E. 2016. Toolkit to Support Vaginal Birth and Reduce Primary Cesareans: A Quality Improvement Toolkit. Stanford, CA: California Maternal Quality Care Collaborative.</w:t>
      </w:r>
    </w:p>
    <w:p w14:paraId="307869B4" w14:textId="77777777" w:rsidR="00AF6C46" w:rsidRDefault="00AF6C46" w:rsidP="00AF6C46">
      <w:pPr>
        <w:numPr>
          <w:ilvl w:val="0"/>
          <w:numId w:val="16"/>
        </w:numPr>
        <w:spacing w:after="160" w:line="259" w:lineRule="auto"/>
        <w:rPr>
          <w:rFonts w:ascii="Calibri" w:eastAsiaTheme="minorHAnsi" w:hAnsi="Calibri" w:cs="Calibri"/>
        </w:rPr>
      </w:pPr>
      <w:r w:rsidRPr="00AF6C46">
        <w:rPr>
          <w:rFonts w:ascii="Calibri" w:eastAsiaTheme="minorHAnsi" w:hAnsi="Calibri" w:cs="Calibri"/>
        </w:rPr>
        <w:t xml:space="preserve">Safe prevention of the primary cesarean delivery.  Obstetric Care Consensus No. 1.  American College of Obstetricians and Gynecologists.  </w:t>
      </w:r>
      <w:proofErr w:type="spellStart"/>
      <w:r w:rsidRPr="00AF6C46">
        <w:rPr>
          <w:rFonts w:ascii="Calibri" w:eastAsiaTheme="minorHAnsi" w:hAnsi="Calibri" w:cs="Calibri"/>
        </w:rPr>
        <w:t>Obstet</w:t>
      </w:r>
      <w:proofErr w:type="spellEnd"/>
      <w:r w:rsidRPr="00AF6C46">
        <w:rPr>
          <w:rFonts w:ascii="Calibri" w:eastAsiaTheme="minorHAnsi" w:hAnsi="Calibri" w:cs="Calibri"/>
        </w:rPr>
        <w:t xml:space="preserve"> </w:t>
      </w:r>
      <w:proofErr w:type="spellStart"/>
      <w:r w:rsidRPr="00AF6C46">
        <w:rPr>
          <w:rFonts w:ascii="Calibri" w:eastAsiaTheme="minorHAnsi" w:hAnsi="Calibri" w:cs="Calibri"/>
        </w:rPr>
        <w:t>Gynecol</w:t>
      </w:r>
      <w:proofErr w:type="spellEnd"/>
      <w:r w:rsidRPr="00AF6C46">
        <w:rPr>
          <w:rFonts w:ascii="Calibri" w:eastAsiaTheme="minorHAnsi" w:hAnsi="Calibri" w:cs="Calibri"/>
        </w:rPr>
        <w:t xml:space="preserve"> </w:t>
      </w:r>
      <w:proofErr w:type="gramStart"/>
      <w:r w:rsidRPr="00AF6C46">
        <w:rPr>
          <w:rFonts w:ascii="Calibri" w:eastAsiaTheme="minorHAnsi" w:hAnsi="Calibri" w:cs="Calibri"/>
        </w:rPr>
        <w:t>2014;123:693</w:t>
      </w:r>
      <w:proofErr w:type="gramEnd"/>
      <w:r w:rsidRPr="00AF6C46">
        <w:rPr>
          <w:rFonts w:ascii="Calibri" w:eastAsiaTheme="minorHAnsi" w:hAnsi="Calibri" w:cs="Calibri"/>
        </w:rPr>
        <w:t>-711.</w:t>
      </w:r>
    </w:p>
    <w:p w14:paraId="6DBD5F79" w14:textId="479EC1AA" w:rsidR="00DF1ACD" w:rsidRPr="00DF1ACD" w:rsidRDefault="00DF1ACD" w:rsidP="00AF6C46">
      <w:pPr>
        <w:numPr>
          <w:ilvl w:val="0"/>
          <w:numId w:val="16"/>
        </w:numPr>
        <w:spacing w:after="160" w:line="259" w:lineRule="auto"/>
        <w:rPr>
          <w:rFonts w:ascii="Calibri" w:eastAsiaTheme="minorHAnsi" w:hAnsi="Calibri" w:cs="Calibri"/>
        </w:rPr>
      </w:pPr>
      <w:r w:rsidRPr="00DF1ACD">
        <w:rPr>
          <w:rFonts w:ascii="Calibri" w:eastAsiaTheme="minorHAnsi" w:hAnsi="Calibri" w:cs="Calibri"/>
        </w:rPr>
        <w:t>America's Health Rankings analysis of America's Health Rankings composite measure, United Health Foundation, AmericasHealthRankings.org, accessed 2022.</w:t>
      </w:r>
    </w:p>
    <w:p w14:paraId="150486E4" w14:textId="5C0C7282" w:rsidR="00DF1ACD" w:rsidRPr="00EA6DD1" w:rsidRDefault="00DF1ACD" w:rsidP="00DF1ACD">
      <w:pPr>
        <w:numPr>
          <w:ilvl w:val="0"/>
          <w:numId w:val="16"/>
        </w:numPr>
        <w:spacing w:after="160" w:line="259" w:lineRule="auto"/>
        <w:rPr>
          <w:rFonts w:ascii="Calibri" w:eastAsiaTheme="minorHAnsi" w:hAnsi="Calibri" w:cs="Calibri"/>
          <w:i/>
          <w:iCs/>
        </w:rPr>
      </w:pPr>
      <w:r w:rsidRPr="00DF1ACD">
        <w:rPr>
          <w:rFonts w:ascii="Calibri" w:eastAsiaTheme="minorHAnsi" w:hAnsi="Calibri" w:cs="Calibri"/>
        </w:rPr>
        <w:t>TDH. (n.d.)</w:t>
      </w:r>
      <w:r w:rsidRPr="00DF1ACD">
        <w:rPr>
          <w:rFonts w:ascii="Calibri" w:eastAsiaTheme="minorHAnsi" w:hAnsi="Calibri" w:cs="Calibri"/>
          <w:i/>
          <w:iCs/>
        </w:rPr>
        <w:t xml:space="preserve"> Infant Mortality. </w:t>
      </w:r>
      <w:r w:rsidRPr="00DF1ACD">
        <w:rPr>
          <w:rFonts w:ascii="Calibri" w:eastAsiaTheme="minorHAnsi" w:hAnsi="Calibri" w:cs="Calibri"/>
        </w:rPr>
        <w:t xml:space="preserve">Retrieved from Tennessee Department of Health. </w:t>
      </w:r>
      <w:hyperlink r:id="rId9" w:history="1">
        <w:r w:rsidRPr="00DF1ACD">
          <w:rPr>
            <w:rFonts w:ascii="Calibri" w:eastAsiaTheme="minorHAnsi" w:hAnsi="Calibri" w:cs="Calibri"/>
            <w:i/>
            <w:iCs/>
            <w:color w:val="0563C1" w:themeColor="hyperlink"/>
            <w:u w:val="single"/>
          </w:rPr>
          <w:t>https://urlisolation.com/browser?clickId=A85293A7-2ED1-41DC-8D6D-871DD5C6A1F4&amp;traceToken=1654229408%3Bregionalone_hosted%3Bhttps%3A%2F%2Fwww.tn.gov%2Fhealth%2Fhealth&amp;url=https%3A%2F%2Fwww.tn.gov%2Fhealth%2Fhealth-program-areas%2Ftennessee-vital-signs%2Fredirect-tennessee-vital-signs%2Fvital-signs-actions%2Finfant-mortality.html</w:t>
        </w:r>
      </w:hyperlink>
    </w:p>
    <w:p w14:paraId="6491CD60" w14:textId="47E4C2E1" w:rsidR="00DF1ACD" w:rsidRPr="00DF1ACD" w:rsidRDefault="00DF1ACD" w:rsidP="00DF1ACD">
      <w:pPr>
        <w:numPr>
          <w:ilvl w:val="0"/>
          <w:numId w:val="16"/>
        </w:numPr>
        <w:spacing w:after="160" w:line="259" w:lineRule="auto"/>
        <w:rPr>
          <w:rFonts w:ascii="Calibri" w:eastAsiaTheme="minorHAnsi" w:hAnsi="Calibri" w:cs="Calibri"/>
        </w:rPr>
      </w:pPr>
      <w:r w:rsidRPr="00DF1ACD">
        <w:rPr>
          <w:rFonts w:ascii="Calibri" w:eastAsiaTheme="minorHAnsi" w:hAnsi="Calibri" w:cs="Calibri"/>
        </w:rPr>
        <w:t xml:space="preserve">LEAPFROG.  (2022). Hospital Safety Grade. Retrieved from The LEAPFROG Group:  </w:t>
      </w:r>
      <w:hyperlink r:id="rId10" w:history="1">
        <w:r w:rsidRPr="00DF1ACD">
          <w:rPr>
            <w:rFonts w:ascii="Calibri" w:eastAsiaTheme="minorHAnsi" w:hAnsi="Calibri" w:cs="Calibri"/>
            <w:color w:val="0563C1" w:themeColor="hyperlink"/>
            <w:u w:val="single"/>
          </w:rPr>
          <w:t>https://www.leapfroggroup.org/ratings-reports</w:t>
        </w:r>
      </w:hyperlink>
    </w:p>
    <w:p w14:paraId="69B79BE3" w14:textId="77777777" w:rsidR="00DF1ACD" w:rsidRPr="00DF1ACD" w:rsidRDefault="00DF1ACD" w:rsidP="00DF1ACD">
      <w:pPr>
        <w:numPr>
          <w:ilvl w:val="0"/>
          <w:numId w:val="16"/>
        </w:numPr>
        <w:spacing w:after="160" w:line="259" w:lineRule="auto"/>
        <w:rPr>
          <w:rFonts w:ascii="Calibri" w:eastAsiaTheme="minorHAnsi" w:hAnsi="Calibri" w:cs="Calibri"/>
          <w:i/>
          <w:iCs/>
        </w:rPr>
      </w:pPr>
      <w:r w:rsidRPr="00DF1ACD">
        <w:rPr>
          <w:rFonts w:ascii="Calibri" w:eastAsiaTheme="minorHAnsi" w:hAnsi="Calibri" w:cs="Calibri"/>
        </w:rPr>
        <w:t xml:space="preserve">TDH.  (2022, April 13.)  </w:t>
      </w:r>
      <w:r w:rsidRPr="00DF1ACD">
        <w:rPr>
          <w:rFonts w:ascii="Calibri" w:eastAsiaTheme="minorHAnsi" w:hAnsi="Calibri" w:cs="Calibri"/>
          <w:i/>
          <w:iCs/>
        </w:rPr>
        <w:t>Maternal Mortality in Tennessee 2017-2020: 2022 Report to the Tennessee General Assembly</w:t>
      </w:r>
      <w:r w:rsidRPr="00DF1ACD">
        <w:rPr>
          <w:rFonts w:ascii="Calibri" w:eastAsiaTheme="minorHAnsi" w:hAnsi="Calibri" w:cs="Calibri"/>
        </w:rPr>
        <w:t>.  Retrieved from the Tennessee Department of Health (TDH): “2022 Maternal Mortality Annual Report.” Maternal Mortality in Tennessee 2017-2020.  Nashville: Tennessee Department of Health, 22 April 2022.</w:t>
      </w:r>
      <w:r w:rsidRPr="00DF1ACD">
        <w:rPr>
          <w:rFonts w:ascii="Calibri" w:eastAsiaTheme="minorHAnsi" w:hAnsi="Calibri" w:cs="Calibri"/>
          <w:i/>
          <w:iCs/>
        </w:rPr>
        <w:t xml:space="preserve"> </w:t>
      </w:r>
    </w:p>
    <w:p w14:paraId="3D37DBBE" w14:textId="35590D69" w:rsidR="00AF6C46" w:rsidRPr="00AF6C46" w:rsidRDefault="00AF6C46" w:rsidP="00AF6C46">
      <w:pPr>
        <w:pStyle w:val="ListParagraph"/>
        <w:numPr>
          <w:ilvl w:val="0"/>
          <w:numId w:val="16"/>
        </w:numPr>
        <w:rPr>
          <w:rFonts w:ascii="Calibri" w:hAnsi="Calibri" w:cs="Calibri"/>
        </w:rPr>
      </w:pPr>
      <w:r w:rsidRPr="00AF6C46">
        <w:rPr>
          <w:rFonts w:ascii="Calibri" w:hAnsi="Calibri" w:cs="Calibri"/>
        </w:rPr>
        <w:t xml:space="preserve">HHS. (2022). Reduce cesarean births among low-risk women with no prior births—MICH-06; Healthy People 2030.  Retrieved from US Department of Health and Human Services. </w:t>
      </w:r>
    </w:p>
    <w:p w14:paraId="0CE64226" w14:textId="7CB83532" w:rsidR="00144A31" w:rsidRPr="00EA6DD1" w:rsidRDefault="00AF6C46" w:rsidP="00B24FDD">
      <w:pPr>
        <w:spacing w:after="160" w:line="259" w:lineRule="auto"/>
        <w:ind w:left="720"/>
        <w:rPr>
          <w:rFonts w:ascii="Calibri" w:eastAsiaTheme="minorHAnsi" w:hAnsi="Calibri" w:cs="Calibri"/>
        </w:rPr>
      </w:pPr>
      <w:r w:rsidRPr="00AF6C46">
        <w:rPr>
          <w:rFonts w:ascii="Calibri" w:eastAsiaTheme="minorHAnsi" w:hAnsi="Calibri" w:cs="Calibri"/>
        </w:rPr>
        <w:t>Joint Commission. (2019). Specifications Manual for Joint Commission National Quality Measures (v2019A). Perinatal Care (PC-02).</w:t>
      </w:r>
    </w:p>
    <w:p w14:paraId="04BF930B" w14:textId="77777777" w:rsidR="00A15003" w:rsidRPr="00EA6DD1" w:rsidRDefault="00A15003" w:rsidP="00144A31">
      <w:pPr>
        <w:spacing w:after="160" w:line="259" w:lineRule="auto"/>
        <w:ind w:left="720"/>
      </w:pPr>
    </w:p>
    <w:p w14:paraId="0098D42D" w14:textId="77777777" w:rsidR="00412823" w:rsidRPr="00EA6DD1" w:rsidRDefault="00412823" w:rsidP="00A15003">
      <w:pPr>
        <w:pStyle w:val="ListParagraph"/>
        <w:ind w:left="0"/>
        <w:contextualSpacing w:val="0"/>
        <w:jc w:val="center"/>
        <w:rPr>
          <w:rFonts w:ascii="Calibri" w:hAnsi="Calibri" w:cs="Calibri"/>
          <w:b/>
          <w:caps/>
        </w:rPr>
      </w:pPr>
      <w:r w:rsidRPr="00EA6DD1">
        <w:rPr>
          <w:rFonts w:ascii="Calibri" w:hAnsi="Calibri" w:cs="Calibri"/>
          <w:b/>
          <w:caps/>
        </w:rPr>
        <w:t>Appendices</w:t>
      </w:r>
    </w:p>
    <w:p w14:paraId="0210620C" w14:textId="77777777" w:rsidR="00F920E7" w:rsidRPr="00EA6DD1" w:rsidRDefault="00F920E7" w:rsidP="00A15003">
      <w:pPr>
        <w:pStyle w:val="ListParagraph"/>
        <w:ind w:left="0"/>
        <w:contextualSpacing w:val="0"/>
        <w:jc w:val="center"/>
        <w:rPr>
          <w:rFonts w:ascii="Calibri" w:hAnsi="Calibri" w:cs="Calibri"/>
          <w:b/>
          <w:caps/>
        </w:rPr>
      </w:pPr>
    </w:p>
    <w:p w14:paraId="498E1378" w14:textId="77777777" w:rsidR="00412823" w:rsidRPr="00EA6DD1" w:rsidRDefault="00412823" w:rsidP="00A15003">
      <w:pPr>
        <w:widowControl w:val="0"/>
        <w:numPr>
          <w:ilvl w:val="0"/>
          <w:numId w:val="7"/>
        </w:numPr>
        <w:autoSpaceDE w:val="0"/>
        <w:autoSpaceDN w:val="0"/>
        <w:adjustRightInd w:val="0"/>
        <w:rPr>
          <w:rFonts w:ascii="Calibri" w:hAnsi="Calibri" w:cs="Calibri"/>
        </w:rPr>
      </w:pPr>
      <w:r w:rsidRPr="00EA6DD1">
        <w:rPr>
          <w:rFonts w:ascii="Calibri" w:hAnsi="Calibri" w:cs="Calibri"/>
        </w:rPr>
        <w:t>TIPQC Participation and Durable Data Use Agreement (TIPQC Participation and Durable Data Use Agreement.pdf)</w:t>
      </w:r>
    </w:p>
    <w:p w14:paraId="6A8DAEE7" w14:textId="77777777" w:rsidR="00412823" w:rsidRPr="00EA6DD1" w:rsidRDefault="00412823" w:rsidP="00A15003">
      <w:pPr>
        <w:widowControl w:val="0"/>
        <w:numPr>
          <w:ilvl w:val="0"/>
          <w:numId w:val="7"/>
        </w:numPr>
        <w:autoSpaceDE w:val="0"/>
        <w:autoSpaceDN w:val="0"/>
        <w:adjustRightInd w:val="0"/>
        <w:rPr>
          <w:rFonts w:ascii="Calibri" w:hAnsi="Calibri" w:cs="Calibri"/>
        </w:rPr>
      </w:pPr>
      <w:r w:rsidRPr="00EA6DD1">
        <w:rPr>
          <w:rFonts w:ascii="Calibri" w:hAnsi="Calibri" w:cs="Calibri"/>
        </w:rPr>
        <w:t>TIPQC Project Application</w:t>
      </w:r>
    </w:p>
    <w:p w14:paraId="587BD05F" w14:textId="77777777" w:rsidR="00412823" w:rsidRPr="00EA6DD1" w:rsidRDefault="00412823" w:rsidP="00A15003">
      <w:pPr>
        <w:widowControl w:val="0"/>
        <w:numPr>
          <w:ilvl w:val="0"/>
          <w:numId w:val="7"/>
        </w:numPr>
        <w:autoSpaceDE w:val="0"/>
        <w:autoSpaceDN w:val="0"/>
        <w:adjustRightInd w:val="0"/>
        <w:rPr>
          <w:rFonts w:ascii="Calibri" w:hAnsi="Calibri" w:cs="Calibri"/>
        </w:rPr>
      </w:pPr>
      <w:r w:rsidRPr="00EA6DD1">
        <w:rPr>
          <w:rFonts w:ascii="Calibri" w:hAnsi="Calibri" w:cs="Calibri"/>
        </w:rPr>
        <w:lastRenderedPageBreak/>
        <w:t>Redcap data entry tool</w:t>
      </w:r>
    </w:p>
    <w:p w14:paraId="20F5C167" w14:textId="77777777" w:rsidR="00A136EC" w:rsidRPr="00EA6DD1" w:rsidRDefault="00412823" w:rsidP="00A15003">
      <w:pPr>
        <w:widowControl w:val="0"/>
        <w:numPr>
          <w:ilvl w:val="0"/>
          <w:numId w:val="7"/>
        </w:numPr>
        <w:autoSpaceDE w:val="0"/>
        <w:autoSpaceDN w:val="0"/>
        <w:adjustRightInd w:val="0"/>
        <w:rPr>
          <w:rFonts w:ascii="Calibri" w:hAnsi="Calibri" w:cs="Calibri"/>
        </w:rPr>
      </w:pPr>
      <w:r w:rsidRPr="00EA6DD1">
        <w:rPr>
          <w:rFonts w:ascii="Calibri" w:hAnsi="Calibri" w:cs="Calibri"/>
        </w:rPr>
        <w:t>TIPQC Toolkit</w:t>
      </w:r>
    </w:p>
    <w:sectPr w:rsidR="00A136EC" w:rsidRPr="00EA6DD1" w:rsidSect="005D0DC2">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4F61" w14:textId="77777777" w:rsidR="00D75C48" w:rsidRDefault="00D75C48" w:rsidP="00C10DA3">
      <w:r>
        <w:separator/>
      </w:r>
    </w:p>
  </w:endnote>
  <w:endnote w:type="continuationSeparator" w:id="0">
    <w:p w14:paraId="6F0CCDD8" w14:textId="77777777" w:rsidR="00D75C48" w:rsidRDefault="00D75C48" w:rsidP="00C1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D5BF" w14:textId="77777777" w:rsidR="00D75C48" w:rsidRDefault="00D75C48" w:rsidP="00C10DA3">
      <w:r>
        <w:separator/>
      </w:r>
    </w:p>
  </w:footnote>
  <w:footnote w:type="continuationSeparator" w:id="0">
    <w:p w14:paraId="2B03702D" w14:textId="77777777" w:rsidR="00D75C48" w:rsidRDefault="00D75C48" w:rsidP="00C10DA3">
      <w:r>
        <w:continuationSeparator/>
      </w:r>
    </w:p>
  </w:footnote>
  <w:footnote w:id="1">
    <w:p w14:paraId="79AC996F" w14:textId="77777777" w:rsidR="00644ECF" w:rsidRPr="00C867B5" w:rsidRDefault="00644ECF" w:rsidP="00644ECF">
      <w:pPr>
        <w:pStyle w:val="FootnoteText"/>
        <w:rPr>
          <w:rFonts w:asciiTheme="minorHAnsi" w:hAnsiTheme="minorHAnsi" w:cstheme="minorHAnsi"/>
        </w:rPr>
      </w:pPr>
      <w:r w:rsidRPr="00C867B5">
        <w:rPr>
          <w:rStyle w:val="FootnoteReference"/>
          <w:rFonts w:asciiTheme="minorHAnsi" w:hAnsiTheme="minorHAnsi" w:cstheme="minorHAnsi"/>
        </w:rPr>
        <w:footnoteRef/>
      </w:r>
      <w:r w:rsidRPr="00C867B5">
        <w:rPr>
          <w:rFonts w:asciiTheme="minorHAnsi" w:hAnsiTheme="minorHAnsi" w:cstheme="minorHAnsi"/>
        </w:rPr>
        <w:t xml:space="preserve"> Reference: the AIM “Data Collection Plan” for the C-section Bundle. The definition has been directly copied and pasted.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25986"/>
      <w:docPartObj>
        <w:docPartGallery w:val="Page Numbers (Top of Page)"/>
        <w:docPartUnique/>
      </w:docPartObj>
    </w:sdtPr>
    <w:sdtContent>
      <w:p w14:paraId="6A0484E3" w14:textId="77777777" w:rsidR="00C10DA3" w:rsidRDefault="00C10DA3" w:rsidP="00C10D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AF692" w14:textId="77777777" w:rsidR="00C10DA3" w:rsidRDefault="00C10DA3" w:rsidP="00C10D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9360737"/>
      <w:docPartObj>
        <w:docPartGallery w:val="Page Numbers (Top of Page)"/>
        <w:docPartUnique/>
      </w:docPartObj>
    </w:sdtPr>
    <w:sdtContent>
      <w:p w14:paraId="0C497533" w14:textId="089DFE4A" w:rsidR="00C10DA3" w:rsidRDefault="00C10DA3" w:rsidP="00C10D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6C46">
          <w:rPr>
            <w:rStyle w:val="PageNumber"/>
            <w:noProof/>
          </w:rPr>
          <w:t>10</w:t>
        </w:r>
        <w:r>
          <w:rPr>
            <w:rStyle w:val="PageNumber"/>
          </w:rPr>
          <w:fldChar w:fldCharType="end"/>
        </w:r>
      </w:p>
    </w:sdtContent>
  </w:sdt>
  <w:p w14:paraId="7921E942" w14:textId="77777777" w:rsidR="00C10DA3" w:rsidRDefault="00C10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6E02" w14:textId="77777777" w:rsidR="00E520EB" w:rsidRDefault="00E520EB">
    <w:pPr>
      <w:pStyle w:val="Header"/>
    </w:pPr>
    <w:r>
      <w:rPr>
        <w:noProof/>
      </w:rPr>
      <w:drawing>
        <wp:inline distT="0" distB="0" distL="0" distR="0" wp14:anchorId="7EB79DD4" wp14:editId="652EC23A">
          <wp:extent cx="800100" cy="3447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109" cy="3538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682"/>
    <w:multiLevelType w:val="hybridMultilevel"/>
    <w:tmpl w:val="64D6CF16"/>
    <w:lvl w:ilvl="0" w:tplc="F6DCF19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3586"/>
    <w:multiLevelType w:val="hybridMultilevel"/>
    <w:tmpl w:val="5B16C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A44345"/>
    <w:multiLevelType w:val="hybridMultilevel"/>
    <w:tmpl w:val="E4204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E01A1C"/>
    <w:multiLevelType w:val="hybridMultilevel"/>
    <w:tmpl w:val="91F4E5EA"/>
    <w:lvl w:ilvl="0" w:tplc="F38CF5CE">
      <w:start w:val="1"/>
      <w:numFmt w:val="decimal"/>
      <w:lvlText w:val="%1."/>
      <w:lvlJc w:val="left"/>
      <w:pPr>
        <w:tabs>
          <w:tab w:val="num" w:pos="360"/>
        </w:tabs>
        <w:ind w:left="360" w:hanging="360"/>
      </w:pPr>
    </w:lvl>
    <w:lvl w:ilvl="1" w:tplc="70922666" w:tentative="1">
      <w:start w:val="1"/>
      <w:numFmt w:val="decimal"/>
      <w:lvlText w:val="%2."/>
      <w:lvlJc w:val="left"/>
      <w:pPr>
        <w:tabs>
          <w:tab w:val="num" w:pos="1080"/>
        </w:tabs>
        <w:ind w:left="1080" w:hanging="360"/>
      </w:pPr>
    </w:lvl>
    <w:lvl w:ilvl="2" w:tplc="82BE506A" w:tentative="1">
      <w:start w:val="1"/>
      <w:numFmt w:val="decimal"/>
      <w:lvlText w:val="%3."/>
      <w:lvlJc w:val="left"/>
      <w:pPr>
        <w:tabs>
          <w:tab w:val="num" w:pos="1800"/>
        </w:tabs>
        <w:ind w:left="1800" w:hanging="360"/>
      </w:pPr>
    </w:lvl>
    <w:lvl w:ilvl="3" w:tplc="8D4ABCC0" w:tentative="1">
      <w:start w:val="1"/>
      <w:numFmt w:val="decimal"/>
      <w:lvlText w:val="%4."/>
      <w:lvlJc w:val="left"/>
      <w:pPr>
        <w:tabs>
          <w:tab w:val="num" w:pos="2520"/>
        </w:tabs>
        <w:ind w:left="2520" w:hanging="360"/>
      </w:pPr>
    </w:lvl>
    <w:lvl w:ilvl="4" w:tplc="8960CA44" w:tentative="1">
      <w:start w:val="1"/>
      <w:numFmt w:val="decimal"/>
      <w:lvlText w:val="%5."/>
      <w:lvlJc w:val="left"/>
      <w:pPr>
        <w:tabs>
          <w:tab w:val="num" w:pos="3240"/>
        </w:tabs>
        <w:ind w:left="3240" w:hanging="360"/>
      </w:pPr>
    </w:lvl>
    <w:lvl w:ilvl="5" w:tplc="329A9778" w:tentative="1">
      <w:start w:val="1"/>
      <w:numFmt w:val="decimal"/>
      <w:lvlText w:val="%6."/>
      <w:lvlJc w:val="left"/>
      <w:pPr>
        <w:tabs>
          <w:tab w:val="num" w:pos="3960"/>
        </w:tabs>
        <w:ind w:left="3960" w:hanging="360"/>
      </w:pPr>
    </w:lvl>
    <w:lvl w:ilvl="6" w:tplc="6D8AB86A" w:tentative="1">
      <w:start w:val="1"/>
      <w:numFmt w:val="decimal"/>
      <w:lvlText w:val="%7."/>
      <w:lvlJc w:val="left"/>
      <w:pPr>
        <w:tabs>
          <w:tab w:val="num" w:pos="4680"/>
        </w:tabs>
        <w:ind w:left="4680" w:hanging="360"/>
      </w:pPr>
    </w:lvl>
    <w:lvl w:ilvl="7" w:tplc="61461048" w:tentative="1">
      <w:start w:val="1"/>
      <w:numFmt w:val="decimal"/>
      <w:lvlText w:val="%8."/>
      <w:lvlJc w:val="left"/>
      <w:pPr>
        <w:tabs>
          <w:tab w:val="num" w:pos="5400"/>
        </w:tabs>
        <w:ind w:left="5400" w:hanging="360"/>
      </w:pPr>
    </w:lvl>
    <w:lvl w:ilvl="8" w:tplc="0596A582" w:tentative="1">
      <w:start w:val="1"/>
      <w:numFmt w:val="decimal"/>
      <w:lvlText w:val="%9."/>
      <w:lvlJc w:val="left"/>
      <w:pPr>
        <w:tabs>
          <w:tab w:val="num" w:pos="6120"/>
        </w:tabs>
        <w:ind w:left="6120" w:hanging="360"/>
      </w:pPr>
    </w:lvl>
  </w:abstractNum>
  <w:abstractNum w:abstractNumId="4" w15:restartNumberingAfterBreak="0">
    <w:nsid w:val="1C180CCA"/>
    <w:multiLevelType w:val="hybridMultilevel"/>
    <w:tmpl w:val="9702CE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C36EC"/>
    <w:multiLevelType w:val="hybridMultilevel"/>
    <w:tmpl w:val="93A6D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414A7"/>
    <w:multiLevelType w:val="hybridMultilevel"/>
    <w:tmpl w:val="151E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E5790"/>
    <w:multiLevelType w:val="hybridMultilevel"/>
    <w:tmpl w:val="D4C8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C2949"/>
    <w:multiLevelType w:val="hybridMultilevel"/>
    <w:tmpl w:val="A044B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6C7AE5"/>
    <w:multiLevelType w:val="hybridMultilevel"/>
    <w:tmpl w:val="CBAAD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A2347A"/>
    <w:multiLevelType w:val="hybridMultilevel"/>
    <w:tmpl w:val="E51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E660B"/>
    <w:multiLevelType w:val="hybridMultilevel"/>
    <w:tmpl w:val="04A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17EFB"/>
    <w:multiLevelType w:val="hybridMultilevel"/>
    <w:tmpl w:val="4DDED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1503D"/>
    <w:multiLevelType w:val="hybridMultilevel"/>
    <w:tmpl w:val="D6A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727E2"/>
    <w:multiLevelType w:val="hybridMultilevel"/>
    <w:tmpl w:val="AA9ED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06544C"/>
    <w:multiLevelType w:val="multilevel"/>
    <w:tmpl w:val="4AE49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9239080">
    <w:abstractNumId w:val="3"/>
  </w:num>
  <w:num w:numId="2" w16cid:durableId="301934585">
    <w:abstractNumId w:val="1"/>
  </w:num>
  <w:num w:numId="3" w16cid:durableId="1170870385">
    <w:abstractNumId w:val="2"/>
  </w:num>
  <w:num w:numId="4" w16cid:durableId="1667896">
    <w:abstractNumId w:val="0"/>
  </w:num>
  <w:num w:numId="5" w16cid:durableId="2080472929">
    <w:abstractNumId w:val="12"/>
  </w:num>
  <w:num w:numId="6" w16cid:durableId="492454370">
    <w:abstractNumId w:val="5"/>
  </w:num>
  <w:num w:numId="7" w16cid:durableId="1466964631">
    <w:abstractNumId w:val="14"/>
  </w:num>
  <w:num w:numId="8" w16cid:durableId="817185365">
    <w:abstractNumId w:val="11"/>
  </w:num>
  <w:num w:numId="9" w16cid:durableId="396787172">
    <w:abstractNumId w:val="10"/>
  </w:num>
  <w:num w:numId="10" w16cid:durableId="2114083583">
    <w:abstractNumId w:val="4"/>
  </w:num>
  <w:num w:numId="11" w16cid:durableId="2105952764">
    <w:abstractNumId w:val="7"/>
  </w:num>
  <w:num w:numId="12" w16cid:durableId="1349064548">
    <w:abstractNumId w:val="6"/>
  </w:num>
  <w:num w:numId="13" w16cid:durableId="262423586">
    <w:abstractNumId w:val="13"/>
  </w:num>
  <w:num w:numId="14" w16cid:durableId="1029452813">
    <w:abstractNumId w:val="9"/>
  </w:num>
  <w:num w:numId="15" w16cid:durableId="122314567">
    <w:abstractNumId w:val="15"/>
  </w:num>
  <w:num w:numId="16" w16cid:durableId="37146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C8"/>
    <w:rsid w:val="00024A49"/>
    <w:rsid w:val="0007643B"/>
    <w:rsid w:val="000938B7"/>
    <w:rsid w:val="00093BFD"/>
    <w:rsid w:val="00123934"/>
    <w:rsid w:val="00144A31"/>
    <w:rsid w:val="00151F22"/>
    <w:rsid w:val="0016158B"/>
    <w:rsid w:val="0018011E"/>
    <w:rsid w:val="001A4869"/>
    <w:rsid w:val="001B2892"/>
    <w:rsid w:val="001C658E"/>
    <w:rsid w:val="001D2087"/>
    <w:rsid w:val="001E10F3"/>
    <w:rsid w:val="00224FCE"/>
    <w:rsid w:val="00241662"/>
    <w:rsid w:val="002440AC"/>
    <w:rsid w:val="00245B9B"/>
    <w:rsid w:val="00253296"/>
    <w:rsid w:val="002739D7"/>
    <w:rsid w:val="002978B6"/>
    <w:rsid w:val="002A4241"/>
    <w:rsid w:val="002E13FE"/>
    <w:rsid w:val="002E2343"/>
    <w:rsid w:val="002E4966"/>
    <w:rsid w:val="00304B55"/>
    <w:rsid w:val="003146C3"/>
    <w:rsid w:val="00343651"/>
    <w:rsid w:val="00344A61"/>
    <w:rsid w:val="003E280D"/>
    <w:rsid w:val="003F0E0C"/>
    <w:rsid w:val="00412823"/>
    <w:rsid w:val="00417409"/>
    <w:rsid w:val="004565C9"/>
    <w:rsid w:val="004A5B44"/>
    <w:rsid w:val="004D39DE"/>
    <w:rsid w:val="005002F2"/>
    <w:rsid w:val="00520A69"/>
    <w:rsid w:val="00551A07"/>
    <w:rsid w:val="005614B2"/>
    <w:rsid w:val="005624F9"/>
    <w:rsid w:val="0058353D"/>
    <w:rsid w:val="00587F25"/>
    <w:rsid w:val="005C2CB7"/>
    <w:rsid w:val="005C3EDD"/>
    <w:rsid w:val="005D0DC2"/>
    <w:rsid w:val="005F7C4A"/>
    <w:rsid w:val="00605C36"/>
    <w:rsid w:val="006232CC"/>
    <w:rsid w:val="00644ECF"/>
    <w:rsid w:val="00663AC8"/>
    <w:rsid w:val="00685D5C"/>
    <w:rsid w:val="006A5C1F"/>
    <w:rsid w:val="006B0D77"/>
    <w:rsid w:val="006C456D"/>
    <w:rsid w:val="007403A9"/>
    <w:rsid w:val="00743C66"/>
    <w:rsid w:val="007443D5"/>
    <w:rsid w:val="007445C5"/>
    <w:rsid w:val="00757276"/>
    <w:rsid w:val="00792F09"/>
    <w:rsid w:val="00797EFC"/>
    <w:rsid w:val="007D2047"/>
    <w:rsid w:val="008145B5"/>
    <w:rsid w:val="008165BB"/>
    <w:rsid w:val="0082488F"/>
    <w:rsid w:val="00837693"/>
    <w:rsid w:val="008E2E2F"/>
    <w:rsid w:val="008E68C8"/>
    <w:rsid w:val="00917E72"/>
    <w:rsid w:val="009571CD"/>
    <w:rsid w:val="00994418"/>
    <w:rsid w:val="009E252D"/>
    <w:rsid w:val="009F164C"/>
    <w:rsid w:val="00A15003"/>
    <w:rsid w:val="00A54994"/>
    <w:rsid w:val="00A66D94"/>
    <w:rsid w:val="00A77CF0"/>
    <w:rsid w:val="00AA08B6"/>
    <w:rsid w:val="00AD3CF8"/>
    <w:rsid w:val="00AF6C46"/>
    <w:rsid w:val="00B143CF"/>
    <w:rsid w:val="00B24FDD"/>
    <w:rsid w:val="00B42F18"/>
    <w:rsid w:val="00B51BDA"/>
    <w:rsid w:val="00BB20EA"/>
    <w:rsid w:val="00BD1BD2"/>
    <w:rsid w:val="00C10DA3"/>
    <w:rsid w:val="00C13025"/>
    <w:rsid w:val="00C24F32"/>
    <w:rsid w:val="00C41272"/>
    <w:rsid w:val="00C4548A"/>
    <w:rsid w:val="00C45589"/>
    <w:rsid w:val="00C55E11"/>
    <w:rsid w:val="00C70778"/>
    <w:rsid w:val="00C7775C"/>
    <w:rsid w:val="00CA38A4"/>
    <w:rsid w:val="00CB2A13"/>
    <w:rsid w:val="00CF3E48"/>
    <w:rsid w:val="00D037E9"/>
    <w:rsid w:val="00D262EA"/>
    <w:rsid w:val="00D5488A"/>
    <w:rsid w:val="00D75C48"/>
    <w:rsid w:val="00D81BBF"/>
    <w:rsid w:val="00DE3514"/>
    <w:rsid w:val="00DF1ACD"/>
    <w:rsid w:val="00E0454D"/>
    <w:rsid w:val="00E067B8"/>
    <w:rsid w:val="00E44F91"/>
    <w:rsid w:val="00E520EB"/>
    <w:rsid w:val="00EA6DD1"/>
    <w:rsid w:val="00F0017A"/>
    <w:rsid w:val="00F20CD4"/>
    <w:rsid w:val="00F31410"/>
    <w:rsid w:val="00F46710"/>
    <w:rsid w:val="00F47BD4"/>
    <w:rsid w:val="00F91109"/>
    <w:rsid w:val="00F920E7"/>
    <w:rsid w:val="00FA1BEE"/>
    <w:rsid w:val="00FA5679"/>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8035"/>
  <w15:chartTrackingRefBased/>
  <w15:docId w15:val="{1124B592-F6FA-1C41-8E74-BB9705F6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C8"/>
    <w:rPr>
      <w:rFonts w:ascii="Times New Roman" w:eastAsia="Times New Roman" w:hAnsi="Times New Roman" w:cs="Times New Roman"/>
    </w:rPr>
  </w:style>
  <w:style w:type="paragraph" w:styleId="Heading1">
    <w:name w:val="heading 1"/>
    <w:basedOn w:val="Normal"/>
    <w:next w:val="Normal"/>
    <w:link w:val="Heading1Char"/>
    <w:uiPriority w:val="9"/>
    <w:qFormat/>
    <w:rsid w:val="00FA5679"/>
    <w:pPr>
      <w:keepNext/>
      <w:keepLines/>
      <w:spacing w:before="240" w:line="259" w:lineRule="auto"/>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C8"/>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8E68C8"/>
    <w:pPr>
      <w:spacing w:before="100" w:beforeAutospacing="1" w:after="100" w:afterAutospacing="1"/>
    </w:pPr>
    <w:rPr>
      <w:rFonts w:eastAsiaTheme="minorHAnsi"/>
    </w:rPr>
  </w:style>
  <w:style w:type="character" w:styleId="Strong">
    <w:name w:val="Strong"/>
    <w:basedOn w:val="DefaultParagraphFont"/>
    <w:uiPriority w:val="22"/>
    <w:qFormat/>
    <w:rsid w:val="008E68C8"/>
    <w:rPr>
      <w:b/>
      <w:bCs/>
    </w:rPr>
  </w:style>
  <w:style w:type="character" w:styleId="CommentReference">
    <w:name w:val="annotation reference"/>
    <w:basedOn w:val="DefaultParagraphFont"/>
    <w:uiPriority w:val="99"/>
    <w:unhideWhenUsed/>
    <w:rsid w:val="008E68C8"/>
    <w:rPr>
      <w:sz w:val="16"/>
      <w:szCs w:val="16"/>
    </w:rPr>
  </w:style>
  <w:style w:type="paragraph" w:styleId="CommentText">
    <w:name w:val="annotation text"/>
    <w:basedOn w:val="Normal"/>
    <w:link w:val="CommentTextChar"/>
    <w:uiPriority w:val="99"/>
    <w:unhideWhenUsed/>
    <w:rsid w:val="008E68C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E68C8"/>
    <w:rPr>
      <w:sz w:val="20"/>
      <w:szCs w:val="20"/>
    </w:rPr>
  </w:style>
  <w:style w:type="paragraph" w:styleId="BalloonText">
    <w:name w:val="Balloon Text"/>
    <w:basedOn w:val="Normal"/>
    <w:link w:val="BalloonTextChar"/>
    <w:uiPriority w:val="99"/>
    <w:semiHidden/>
    <w:unhideWhenUsed/>
    <w:rsid w:val="008E68C8"/>
    <w:rPr>
      <w:sz w:val="18"/>
      <w:szCs w:val="18"/>
    </w:rPr>
  </w:style>
  <w:style w:type="character" w:customStyle="1" w:styleId="BalloonTextChar">
    <w:name w:val="Balloon Text Char"/>
    <w:basedOn w:val="DefaultParagraphFont"/>
    <w:link w:val="BalloonText"/>
    <w:uiPriority w:val="99"/>
    <w:semiHidden/>
    <w:rsid w:val="008E68C8"/>
    <w:rPr>
      <w:rFonts w:ascii="Times New Roman" w:eastAsia="Times New Roman" w:hAnsi="Times New Roman" w:cs="Times New Roman"/>
      <w:sz w:val="18"/>
      <w:szCs w:val="18"/>
    </w:rPr>
  </w:style>
  <w:style w:type="character" w:styleId="Hyperlink">
    <w:name w:val="Hyperlink"/>
    <w:basedOn w:val="DefaultParagraphFont"/>
    <w:uiPriority w:val="99"/>
    <w:unhideWhenUsed/>
    <w:rsid w:val="008E68C8"/>
    <w:rPr>
      <w:color w:val="0563C1" w:themeColor="hyperlink"/>
      <w:u w:val="single"/>
    </w:rPr>
  </w:style>
  <w:style w:type="paragraph" w:styleId="Header">
    <w:name w:val="header"/>
    <w:basedOn w:val="Normal"/>
    <w:link w:val="HeaderChar"/>
    <w:uiPriority w:val="99"/>
    <w:unhideWhenUsed/>
    <w:rsid w:val="00C10DA3"/>
    <w:pPr>
      <w:tabs>
        <w:tab w:val="center" w:pos="4680"/>
        <w:tab w:val="right" w:pos="9360"/>
      </w:tabs>
    </w:pPr>
  </w:style>
  <w:style w:type="character" w:customStyle="1" w:styleId="HeaderChar">
    <w:name w:val="Header Char"/>
    <w:basedOn w:val="DefaultParagraphFont"/>
    <w:link w:val="Header"/>
    <w:uiPriority w:val="99"/>
    <w:rsid w:val="00C10DA3"/>
    <w:rPr>
      <w:rFonts w:ascii="Times New Roman" w:eastAsia="Times New Roman" w:hAnsi="Times New Roman" w:cs="Times New Roman"/>
    </w:rPr>
  </w:style>
  <w:style w:type="paragraph" w:styleId="Footer">
    <w:name w:val="footer"/>
    <w:basedOn w:val="Normal"/>
    <w:link w:val="FooterChar"/>
    <w:uiPriority w:val="99"/>
    <w:unhideWhenUsed/>
    <w:rsid w:val="00C10DA3"/>
    <w:pPr>
      <w:tabs>
        <w:tab w:val="center" w:pos="4680"/>
        <w:tab w:val="right" w:pos="9360"/>
      </w:tabs>
    </w:pPr>
  </w:style>
  <w:style w:type="character" w:customStyle="1" w:styleId="FooterChar">
    <w:name w:val="Footer Char"/>
    <w:basedOn w:val="DefaultParagraphFont"/>
    <w:link w:val="Footer"/>
    <w:uiPriority w:val="99"/>
    <w:rsid w:val="00C10DA3"/>
    <w:rPr>
      <w:rFonts w:ascii="Times New Roman" w:eastAsia="Times New Roman" w:hAnsi="Times New Roman" w:cs="Times New Roman"/>
    </w:rPr>
  </w:style>
  <w:style w:type="character" w:styleId="PageNumber">
    <w:name w:val="page number"/>
    <w:basedOn w:val="DefaultParagraphFont"/>
    <w:uiPriority w:val="99"/>
    <w:semiHidden/>
    <w:unhideWhenUsed/>
    <w:rsid w:val="00C10DA3"/>
  </w:style>
  <w:style w:type="paragraph" w:styleId="CommentSubject">
    <w:name w:val="annotation subject"/>
    <w:basedOn w:val="CommentText"/>
    <w:next w:val="CommentText"/>
    <w:link w:val="CommentSubjectChar"/>
    <w:uiPriority w:val="99"/>
    <w:semiHidden/>
    <w:unhideWhenUsed/>
    <w:rsid w:val="00C10DA3"/>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0DA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A5679"/>
    <w:rPr>
      <w:rFonts w:asciiTheme="majorHAnsi" w:eastAsiaTheme="majorEastAsia" w:hAnsiTheme="majorHAnsi" w:cstheme="majorBidi"/>
      <w:sz w:val="32"/>
      <w:szCs w:val="32"/>
    </w:rPr>
  </w:style>
  <w:style w:type="paragraph" w:styleId="FootnoteText">
    <w:name w:val="footnote text"/>
    <w:basedOn w:val="Normal"/>
    <w:link w:val="FootnoteTextChar"/>
    <w:uiPriority w:val="99"/>
    <w:semiHidden/>
    <w:unhideWhenUsed/>
    <w:rsid w:val="005002F2"/>
    <w:rPr>
      <w:sz w:val="20"/>
      <w:szCs w:val="20"/>
    </w:rPr>
  </w:style>
  <w:style w:type="character" w:customStyle="1" w:styleId="FootnoteTextChar">
    <w:name w:val="Footnote Text Char"/>
    <w:basedOn w:val="DefaultParagraphFont"/>
    <w:link w:val="FootnoteText"/>
    <w:uiPriority w:val="99"/>
    <w:semiHidden/>
    <w:rsid w:val="005002F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02F2"/>
    <w:rPr>
      <w:vertAlign w:val="superscript"/>
    </w:rPr>
  </w:style>
  <w:style w:type="paragraph" w:styleId="Revision">
    <w:name w:val="Revision"/>
    <w:hidden/>
    <w:uiPriority w:val="99"/>
    <w:semiHidden/>
    <w:rsid w:val="00144A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apfroggroup.org/ratings-reports" TargetMode="External"/><Relationship Id="rId4" Type="http://schemas.openxmlformats.org/officeDocument/2006/relationships/settings" Target="settings.xml"/><Relationship Id="rId9" Type="http://schemas.openxmlformats.org/officeDocument/2006/relationships/hyperlink" Target="https://urlisolation.com/browser?clickId=A85293A7-2ED1-41DC-8D6D-871DD5C6A1F4&amp;traceToken=1654229408%3Bregionalone_hosted%3Bhttps%3A%2F%2Fwww.tn.gov%2Fhealth%2Fhealth&amp;url=https%3A%2F%2Fwww.tn.gov%2Fhealth%2Fhealth-program-areas%2Ftennessee-vital-signs%2Fredirect-tennessee-vital-signs%2Fvital-signs-actions%2Finfant-mortality.html"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Levly</b:Tag>
    <b:SourceType>JournalArticle</b:SourceType>
    <b:Guid>{29CF2CC3-C738-4A56-9EB5-8B6082ED510C}</b:Guid>
    <b:Title>Persistent cardiac dysfunction on echocardiography in African Amercian women with severe preeclampsia</b:Title>
    <b:Year>2019</b:Year>
    <b:JournalName>Pregnancy Hypertension</b:JournalName>
    <b:Pages>17: 127–132. doi:10.1016/j.preghy.2019.05.021.</b:Pages>
    <b:Author>
      <b:Author>
        <b:NameList>
          <b:Person>
            <b:Last>Levine</b:Last>
            <b:Middle>D.</b:Middle>
            <b:First>Lisa</b:First>
          </b:Person>
          <b:Person>
            <b:Last>Lewey</b:Last>
            <b:First>Jennifer</b:First>
          </b:Person>
          <b:Person>
            <b:Last>Koelper</b:Last>
            <b:First>Nathanael</b:First>
          </b:Person>
          <b:Person>
            <b:Last>Downes</b:Last>
            <b:Middle>L.</b:Middle>
            <b:First>Katheryne</b:First>
          </b:Person>
          <b:Person>
            <b:Last>Arany</b:Last>
            <b:First>Zolt</b:First>
          </b:Person>
          <b:Person>
            <b:Last>Elovitz</b:Last>
            <b:Middle>A.</b:Middle>
            <b:First>Michal</b:First>
          </b:Person>
          <b:Person>
            <b:Last>Sammel</b:Last>
            <b:Middle>D.</b:Middle>
            <b:First>Mary</b:First>
          </b:Person>
          <b:Person>
            <b:Last>Ky</b:Last>
            <b:First>Bonnie</b:First>
          </b:Person>
        </b:NameList>
      </b:Author>
    </b:Author>
    <b:RefOrder>3</b:RefOrder>
  </b:Source>
  <b:Source>
    <b:Tag>Jon19</b:Tag>
    <b:SourceType>JournalArticle</b:SourceType>
    <b:Guid>{A0BE32CD-5388-4257-AE91-634A4A839C85}</b:Guid>
    <b:Title>Continued disparities in postpartum follow-up and screening among women with gestational diabetes and hypertensive disorders of pregnancy: A systematic review</b:Title>
    <b:JournalName>J Perinat Neonatal Nurs</b:JournalName>
    <b:Year>2019</b:Year>
    <b:Pages>33(2): 136–148. doi:10.1097/JPN.0000000000000399</b:Pages>
    <b:Author>
      <b:Author>
        <b:NameList>
          <b:Person>
            <b:Last>Jones</b:Last>
            <b:Middle>J.</b:Middle>
            <b:First>Emily</b:First>
          </b:Person>
          <b:Person>
            <b:Last>Hernandez</b:Last>
            <b:Middle>L.</b:Middle>
            <b:First>Teri</b:First>
          </b:Person>
          <b:Person>
            <b:Last>Edmonds</b:Last>
            <b:Middle>K.</b:Middle>
            <b:First>Joyce</b:First>
          </b:Person>
          <b:Person>
            <b:Last>Ferranti</b:Last>
            <b:Middle>P.</b:Middle>
            <b:First>Erin</b:First>
          </b:Person>
        </b:NameList>
      </b:Author>
    </b:Author>
    <b:RefOrder>5</b:RefOrder>
  </b:Source>
  <b:Source>
    <b:Tag>Lui19</b:Tag>
    <b:SourceType>JournalArticle</b:SourceType>
    <b:Guid>{1963A7C1-8996-4B3D-8FC0-6921BACECC04}</b:Guid>
    <b:Title>Postpartum Interventions to Reduce Long-Term Cardiovascular Disease Risk in Women After Hypertensive Disorders of Pregnancy: A Systematic Review</b:Title>
    <b:JournalName>Front. Cardiovasc. Med.,</b:JournalName>
    <b:Year>2019</b:Year>
    <b:Pages>https://doi.org/10.3389/fcvm.2019.00160</b:Pages>
    <b:Author>
      <b:Author>
        <b:NameList>
          <b:Person>
            <b:Last>Lui</b:Last>
            <b:Middle>A.</b:Middle>
            <b:First>Nicla</b:First>
          </b:Person>
          <b:Person>
            <b:Last>Jeyaram</b:Last>
            <b:First>Gajana</b:First>
          </b:Person>
          <b:Person>
            <b:Last>Henry</b:Last>
            <b:First>Amanda</b:First>
          </b:Person>
        </b:NameList>
      </b:Author>
    </b:Author>
    <b:RefOrder>2</b:RefOrder>
  </b:Source>
  <b:Source>
    <b:Tag>Mat08</b:Tag>
    <b:SourceType>JournalArticle</b:SourceType>
    <b:Guid>{116B20AB-0969-4D29-A4F1-9B1CE2A5B483}</b:Guid>
    <b:Title>Racial Differences in Nitric Oxide-Dependent Vasorelaxation</b:Title>
    <b:JournalName>Reprod Sci</b:JournalName>
    <b:Year>2008</b:Year>
    <b:Pages>15(1): 9–25.</b:Pages>
    <b:Medium>National Institutes of Health</b:Medium>
    <b:Author>
      <b:Author>
        <b:NameList>
          <b:Person>
            <b:Last>Mata-Greenwood</b:Last>
            <b:First>Eugenia</b:First>
          </b:Person>
          <b:Person>
            <b:Last>Chen</b:Last>
            <b:First>Dong-Bao</b:First>
          </b:Person>
        </b:NameList>
      </b:Author>
    </b:Author>
    <b:RefOrder>6</b:RefOrder>
  </b:Source>
  <b:Source>
    <b:Tag>Gei03</b:Tag>
    <b:SourceType>JournalArticle</b:SourceType>
    <b:Guid>{1105D99A-B53D-4446-B34C-504ECC300768}</b:Guid>
    <b:Title>Institute of Medicine (US) Committee on Understanding and Eliminating Racial and Ethnic Disparities in Health Care</b:Title>
    <b:JournalName>Institue of Medicine (IOM) of The National Academies</b:JournalName>
    <b:Year>2003</b:Year>
    <b:Pages>https://www.ncbi.nlm.nih.gov/books/NBK220358/ doi: 10.17226/12875</b:Pages>
    <b:Medium>National Academies Press (US)</b:Medium>
    <b:Author>
      <b:Author>
        <b:NameList>
          <b:Person>
            <b:Last>Geiger</b:Last>
            <b:Middle>Jack</b:Middle>
            <b:First>H.</b:First>
          </b:Person>
          <b:Person>
            <b:Last> Smedley</b:Last>
            <b:First>BD</b:First>
          </b:Person>
          <b:Person>
            <b:Last>Stith </b:Last>
            <b:First>AY</b:First>
          </b:Person>
          <b:Person>
            <b:Last>Nelson </b:Last>
            <b:Middle>R</b:Middle>
            <b:First>A</b:First>
          </b:Person>
        </b:NameList>
      </b:Author>
    </b:Author>
    <b:RefOrder>7</b:RefOrder>
  </b:Source>
  <b:Source>
    <b:Tag>Tsi19</b:Tag>
    <b:SourceType>InternetSite</b:SourceType>
    <b:Guid>{1C8B96D2-ABA8-4378-8B64-3871B08C3D3C}</b:Guid>
    <b:Author>
      <b:Author>
        <b:NameList>
          <b:Person>
            <b:Last>Tsigas</b:Last>
            <b:First>Eleni</b:First>
          </b:Person>
        </b:NameList>
      </b:Author>
    </b:Author>
    <b:Title>Postpartum Preeclampsia: Risk after Delivery Remains</b:Title>
    <b:JournalName>Eleni Tsigas, Chief Executive Officer, Preeclampsia Foundation</b:JournalName>
    <b:Year>2019</b:Year>
    <b:Medium>https://www.dona.org/postpartum-preeclampsia-risk-after-delivery-remains/</b:Medium>
    <b:Month>May</b:Month>
    <b:Day>28</b:Day>
    <b:YearAccessed>2020</b:YearAccessed>
    <b:MonthAccessed>July</b:MonthAccessed>
    <b:DayAccessed>2</b:DayAccessed>
    <b:RefOrder>1</b:RefOrder>
  </b:Source>
  <b:Source>
    <b:Tag>Ste17</b:Tag>
    <b:SourceType>JournalArticle</b:SourceType>
    <b:Guid>{6DEF4A44-AA3F-4B3E-ACA0-FBD12783E653}</b:Guid>
    <b:Title>Short-term costs of preeclampsia to the United States health care system</b:Title>
    <b:Year>2017</b:Year>
    <b:Medium>DOI: 10.1016/j.ajog.2017.04.032 </b:Medium>
    <b:JournalName>American Journal of Obstetrics &amp; Gynecology</b:JournalName>
    <b:Pages>217 (3)</b:Pages>
    <b:Author>
      <b:Author>
        <b:NameList>
          <b:Person>
            <b:Last>Stevens</b:Last>
            <b:First>Warren</b:First>
          </b:Person>
          <b:Person>
            <b:Last>Incerti</b:Last>
            <b:First>Devin</b:First>
          </b:Person>
          <b:Person>
            <b:Last>Shih</b:Last>
            <b:First>Tiffany</b:First>
          </b:Person>
          <b:Person>
            <b:Last>Ton</b:Last>
            <b:Middle>G.N.</b:Middle>
            <b:First>Thanh</b:First>
          </b:Person>
        </b:NameList>
      </b:Author>
    </b:Author>
    <b:RefOrder>8</b:RefOrder>
  </b:Source>
  <b:Source>
    <b:Tag>CDC203</b:Tag>
    <b:SourceType>DocumentFromInternetSite</b:SourceType>
    <b:Guid>{5EE603BB-9692-4DB4-870A-54F09477CA91}</b:Guid>
    <b:Title>CDC/National Center for Health Statistics: Tennessee</b:Title>
    <b:Year>2020</b:Year>
    <b:Medium>https://www.cdc.gov/nchs/pressroom/states/tennessee/tn.htm</b:Medium>
    <b:Author>
      <b:Author>
        <b:NameList>
          <b:Person>
            <b:Last>CDC</b:Last>
          </b:Person>
        </b:NameList>
      </b:Author>
    </b:Author>
    <b:InternetSiteTitle>Centers for Disease Control and Prevention</b:InternetSiteTitle>
    <b:Month>April</b:Month>
    <b:Day>24</b:Day>
    <b:RefOrder>9</b:RefOrder>
  </b:Source>
  <b:Source>
    <b:Tag>ACO191</b:Tag>
    <b:SourceType>DocumentFromInternetSite</b:SourceType>
    <b:Guid>{455F83B3-0288-43D9-8592-FF7214B3FDD8}</b:Guid>
    <b:Title>Chronic Hypertension in Pregnancy. Practice Bulletin No. 203</b:Title>
    <b:InternetSiteTitle>American College of Obstetricians and Gynecologists </b:InternetSiteTitle>
    <b:Year>2019</b:Year>
    <b:Month>January</b:Month>
    <b:Medium>https://www.acog.org/clinical/clinical-guidance/practice-bulletin/articles/2019/01/chronic-hypertension-in-pregnancy</b:Medium>
    <b:Author>
      <b:Author>
        <b:NameList>
          <b:Person>
            <b:Last>ACOG</b:Last>
          </b:Person>
        </b:NameList>
      </b:Author>
    </b:Author>
    <b:RefOrder>10</b:RefOrder>
  </b:Source>
  <b:Source>
    <b:Tag>Sae20</b:Tag>
    <b:SourceType>DocumentFromInternetSite</b:SourceType>
    <b:Guid>{C86599E8-8402-4FEA-9CFB-66C0EB829233}</b:Guid>
    <b:Title>Racial Disparities in Hypertension Prevalence and Management: A Crisis Control?</b:Title>
    <b:InternetSiteTitle>American College of Cardiology</b:InternetSiteTitle>
    <b:Year>2020</b:Year>
    <b:Month>April</b:Month>
    <b:Day>6</b:Day>
    <b:Medium>https://www.acc.org/latest-in-cardiology/articles/2020/04/06/08/53/racial-disparities-in-hypertension-prevalence-and-management</b:Medium>
    <b:Author>
      <b:Author>
        <b:NameList>
          <b:Person>
            <b:Last>Saeed </b:Last>
            <b:First>Anum</b:First>
          </b:Person>
          <b:Person>
            <b:Last>Dixon</b:Last>
            <b:First>Dave</b:First>
          </b:Person>
          <b:Person>
            <b:Last>Yang</b:Last>
            <b:First>Eugene</b:First>
          </b:Person>
        </b:NameList>
      </b:Author>
    </b:Author>
    <b:RefOrder>4</b:RefOrder>
  </b:Source>
  <b:Source>
    <b:Tag>Ced20</b:Tag>
    <b:SourceType>DocumentFromInternetSite</b:SourceType>
    <b:Guid>{688FD4A6-1274-4227-B455-784A1EFB92EE}</b:Guid>
    <b:Title>Gestational Hypertension</b:Title>
    <b:Year>2020</b:Year>
    <b:Medium>https://www.cedars-sinai.org/health-library/diseases-and-conditions/g/gestational-hypertension.html</b:Medium>
    <b:Author>
      <b:Author>
        <b:Corporate>Cedars Sinai</b:Corporate>
      </b:Author>
    </b:Author>
    <b:InternetSiteTitle>cedars-sinai.org</b:InternetSiteTitle>
    <b:RefOrder>11</b:RefOrder>
  </b:Source>
</b:Sources>
</file>

<file path=customXml/itemProps1.xml><?xml version="1.0" encoding="utf-8"?>
<ds:datastoreItem xmlns:ds="http://schemas.openxmlformats.org/officeDocument/2006/customXml" ds:itemID="{C5719DA0-6C48-4C57-BF72-9EB05DCC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Basham, Kendall</cp:lastModifiedBy>
  <cp:revision>2</cp:revision>
  <cp:lastPrinted>2022-08-05T13:17:00Z</cp:lastPrinted>
  <dcterms:created xsi:type="dcterms:W3CDTF">2023-01-03T18:14:00Z</dcterms:created>
  <dcterms:modified xsi:type="dcterms:W3CDTF">2023-01-03T18:14:00Z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2022-12-29T16:21:48Z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bf8b5f18-d58e-4b53-92f0-c5ee5992f0fa</vt:lpwstr>
  </property>
  <property fmtid="{D5CDD505-2E9C-101B-9397-08002B2CF9AE}" pid="8" name="MSIP_Label_792c8cef-6f2b-4af1-b4ac-d815ff795cd6_ContentBits">
    <vt:lpwstr>0</vt:lpwstr>
  </property>
</Properties>
</file>