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6A963" w14:textId="44A043AF" w:rsidR="00225168" w:rsidRPr="00474515" w:rsidRDefault="00D0747A" w:rsidP="00474515">
      <w:pPr>
        <w:spacing w:after="0"/>
        <w:jc w:val="center"/>
        <w:rPr>
          <w:b/>
          <w:bCs/>
        </w:rPr>
      </w:pPr>
      <w:r w:rsidRPr="00474515">
        <w:rPr>
          <w:b/>
          <w:bCs/>
        </w:rPr>
        <w:t>TIPQC “Severe Maternal Hypertension” QI Project</w:t>
      </w:r>
    </w:p>
    <w:p w14:paraId="5351586E" w14:textId="1529061D" w:rsidR="00474515" w:rsidRPr="00474515" w:rsidRDefault="00474515" w:rsidP="00474515">
      <w:pPr>
        <w:spacing w:after="0"/>
        <w:jc w:val="center"/>
        <w:rPr>
          <w:b/>
          <w:bCs/>
          <w:i/>
          <w:iCs/>
        </w:rPr>
      </w:pPr>
      <w:r w:rsidRPr="00474515">
        <w:rPr>
          <w:b/>
          <w:bCs/>
          <w:i/>
          <w:iCs/>
        </w:rPr>
        <w:t>Data Collection Details</w:t>
      </w:r>
    </w:p>
    <w:p w14:paraId="4E884385" w14:textId="77777777" w:rsidR="00D0747A" w:rsidRDefault="00D0747A" w:rsidP="00D0747A">
      <w:pPr>
        <w:spacing w:after="0"/>
      </w:pPr>
    </w:p>
    <w:p w14:paraId="32034614" w14:textId="6A334716" w:rsidR="00CB74BD" w:rsidRDefault="00D0747A" w:rsidP="00D0747A">
      <w:pPr>
        <w:spacing w:after="0"/>
      </w:pPr>
      <w:r>
        <w:t>(1) Monthly capture of “</w:t>
      </w:r>
      <w:r w:rsidR="00DB193D">
        <w:t>Treatment of Sever Hypertension</w:t>
      </w:r>
      <w:r>
        <w:t xml:space="preserve">” </w:t>
      </w:r>
      <w:r w:rsidR="00DB193D">
        <w:t xml:space="preserve">(HTN) </w:t>
      </w:r>
      <w:r>
        <w:t>process measure</w:t>
      </w:r>
      <w:r w:rsidR="00474515">
        <w:t xml:space="preserve"> – </w:t>
      </w:r>
      <w:r w:rsidR="00474515" w:rsidRPr="00474515">
        <w:rPr>
          <w:i/>
          <w:iCs/>
        </w:rPr>
        <w:t>see Table 1</w:t>
      </w:r>
      <w:r w:rsidR="005274E5">
        <w:rPr>
          <w:i/>
          <w:iCs/>
        </w:rPr>
        <w:t xml:space="preserve"> (last page)</w:t>
      </w:r>
      <w:r w:rsidR="00474515">
        <w:t>.</w:t>
      </w:r>
    </w:p>
    <w:p w14:paraId="3B3F40A0" w14:textId="2F3A1B00" w:rsidR="004A3479" w:rsidRPr="004A3479" w:rsidRDefault="004A3479" w:rsidP="004A3479">
      <w:pPr>
        <w:pStyle w:val="ListParagraph"/>
        <w:numPr>
          <w:ilvl w:val="0"/>
          <w:numId w:val="1"/>
        </w:numPr>
        <w:spacing w:after="0"/>
      </w:pPr>
      <w:r>
        <w:t>Definition:</w:t>
      </w:r>
    </w:p>
    <w:p w14:paraId="3BE294E8" w14:textId="77777777" w:rsidR="00DB193D" w:rsidRDefault="004A3479" w:rsidP="00DB193D">
      <w:pPr>
        <w:pStyle w:val="ListParagraph"/>
        <w:numPr>
          <w:ilvl w:val="1"/>
          <w:numId w:val="1"/>
        </w:numPr>
        <w:spacing w:after="0"/>
      </w:pPr>
      <w:r w:rsidRPr="004A3479">
        <w:rPr>
          <w:b/>
          <w:bCs/>
          <w:u w:val="single"/>
        </w:rPr>
        <w:t>Denominator (D)</w:t>
      </w:r>
      <w:r w:rsidRPr="00CB74BD">
        <w:t xml:space="preserve">: </w:t>
      </w:r>
      <w:r w:rsidR="00DB193D" w:rsidRPr="00DB193D">
        <w:t>Birthing patients with acute-onset severe hypertension that persists for 15 minutes or more, including those with preeclampsia, gestational or chronic hypertension.</w:t>
      </w:r>
      <w:r w:rsidR="00DB193D">
        <w:t xml:space="preserve">  </w:t>
      </w:r>
    </w:p>
    <w:p w14:paraId="7CA75606" w14:textId="77777777" w:rsidR="00DB193D" w:rsidRDefault="004A3479" w:rsidP="004A3479">
      <w:pPr>
        <w:pStyle w:val="ListParagraph"/>
        <w:numPr>
          <w:ilvl w:val="1"/>
          <w:numId w:val="1"/>
        </w:numPr>
        <w:spacing w:after="0"/>
      </w:pPr>
      <w:r w:rsidRPr="004A3479">
        <w:rPr>
          <w:b/>
          <w:bCs/>
          <w:u w:val="single"/>
        </w:rPr>
        <w:t>Numerator (N)</w:t>
      </w:r>
      <w:r w:rsidRPr="00CB74BD">
        <w:t xml:space="preserve">: </w:t>
      </w:r>
      <w:r w:rsidR="00DB193D" w:rsidRPr="00DB193D">
        <w:t xml:space="preserve">Among the denominator, birthing patients who were treated within 1 hour with IV Labetalol, IV Hydralazine, or PO Nifedipine (see ACOG CO #767 Feb 2019). </w:t>
      </w:r>
    </w:p>
    <w:p w14:paraId="186876E9" w14:textId="77777777" w:rsidR="00474515" w:rsidRDefault="00474515" w:rsidP="004A3479">
      <w:pPr>
        <w:pStyle w:val="ListParagraph"/>
        <w:numPr>
          <w:ilvl w:val="0"/>
          <w:numId w:val="1"/>
        </w:numPr>
        <w:spacing w:after="0"/>
      </w:pPr>
      <w:r>
        <w:t>Additional details:</w:t>
      </w:r>
    </w:p>
    <w:p w14:paraId="08DF5091" w14:textId="77777777" w:rsidR="00DB193D" w:rsidRDefault="00DB193D" w:rsidP="00DB193D">
      <w:pPr>
        <w:pStyle w:val="ListParagraph"/>
        <w:numPr>
          <w:ilvl w:val="1"/>
          <w:numId w:val="1"/>
        </w:numPr>
        <w:spacing w:after="0"/>
      </w:pPr>
      <w:r>
        <w:t>"Birthing patients" includes pregnant and postpartum women (up to 6 weeks).</w:t>
      </w:r>
    </w:p>
    <w:p w14:paraId="42E2CC11" w14:textId="39D7EBFC" w:rsidR="00DB193D" w:rsidRDefault="00DB193D" w:rsidP="00DB193D">
      <w:pPr>
        <w:pStyle w:val="ListParagraph"/>
        <w:numPr>
          <w:ilvl w:val="1"/>
          <w:numId w:val="1"/>
        </w:numPr>
        <w:spacing w:after="0"/>
      </w:pPr>
      <w:r>
        <w:t xml:space="preserve">The denominator </w:t>
      </w:r>
      <w:r>
        <w:t>Considers the ACOG diagnoses of chronic hypertension (CHTN), CHTN with superimposed pre-eclampsia, preeclampsia, and gestational hypertension.</w:t>
      </w:r>
    </w:p>
    <w:p w14:paraId="54C45117" w14:textId="77777777" w:rsidR="00DB193D" w:rsidRDefault="00DB193D" w:rsidP="00DB193D">
      <w:pPr>
        <w:pStyle w:val="ListParagraph"/>
        <w:numPr>
          <w:ilvl w:val="1"/>
          <w:numId w:val="1"/>
        </w:numPr>
        <w:spacing w:after="0"/>
      </w:pPr>
      <w:r w:rsidRPr="00DB193D">
        <w:t>The 1 hour is measured from the first severe range BP reading, assuming confirmation of persistent elevation through a second reading.</w:t>
      </w:r>
    </w:p>
    <w:p w14:paraId="43BFFC55" w14:textId="70E450F5" w:rsidR="004A3479" w:rsidRDefault="00474515" w:rsidP="00474515">
      <w:pPr>
        <w:pStyle w:val="ListParagraph"/>
        <w:numPr>
          <w:ilvl w:val="1"/>
          <w:numId w:val="1"/>
        </w:numPr>
        <w:spacing w:after="0"/>
      </w:pPr>
      <w:r>
        <w:t>Participating hospital t</w:t>
      </w:r>
      <w:r w:rsidRPr="00CB74BD">
        <w:t>eams will capture the overall D &amp; N as well as the D &amp; N within specific racial/ethnic groups - (</w:t>
      </w:r>
      <w:proofErr w:type="spellStart"/>
      <w:r w:rsidRPr="00CB74BD">
        <w:t>i</w:t>
      </w:r>
      <w:proofErr w:type="spellEnd"/>
      <w:r w:rsidRPr="00CB74BD">
        <w:t>) White, (ii) Black/African American, and (iii) Hispanic/Latino women.</w:t>
      </w:r>
    </w:p>
    <w:p w14:paraId="0202CA0F" w14:textId="720106E0" w:rsidR="00474515" w:rsidRPr="00DB193D" w:rsidRDefault="00474515" w:rsidP="00474515">
      <w:pPr>
        <w:pStyle w:val="ListParagraph"/>
        <w:numPr>
          <w:ilvl w:val="1"/>
          <w:numId w:val="1"/>
        </w:numPr>
        <w:spacing w:after="0"/>
      </w:pPr>
      <w:r>
        <w:t>Participating hospital teams will capture this process measure in a specific spreadsheet and a corresponding TIPQC/T</w:t>
      </w:r>
      <w:r w:rsidRPr="00DB193D">
        <w:t xml:space="preserve">DH REDCap project every month.  </w:t>
      </w:r>
    </w:p>
    <w:p w14:paraId="2C71AA13" w14:textId="2B693792" w:rsidR="00474515" w:rsidRPr="00DB193D" w:rsidRDefault="00474515" w:rsidP="00474515">
      <w:pPr>
        <w:pStyle w:val="ListParagraph"/>
        <w:numPr>
          <w:ilvl w:val="1"/>
          <w:numId w:val="1"/>
        </w:numPr>
        <w:spacing w:after="0"/>
      </w:pPr>
      <w:r w:rsidRPr="00DB193D">
        <w:t>Participating hospital teams will also aggregate their monthly D &amp; N values every quarter and enter the corresponding quarterly values into the Alliance for Innovation in Maternal Health (AIM)</w:t>
      </w:r>
      <w:r w:rsidR="00604475" w:rsidRPr="00DB193D">
        <w:t xml:space="preserve"> Data Center.  </w:t>
      </w:r>
    </w:p>
    <w:p w14:paraId="0F4B799C" w14:textId="0D6FED75" w:rsidR="001A250E" w:rsidRPr="00DB193D" w:rsidRDefault="001A250E" w:rsidP="00604475">
      <w:pPr>
        <w:pStyle w:val="ListParagraph"/>
        <w:numPr>
          <w:ilvl w:val="2"/>
          <w:numId w:val="1"/>
        </w:numPr>
        <w:spacing w:after="0"/>
      </w:pPr>
      <w:r w:rsidRPr="00DB193D">
        <w:t>TIPQC has teamed up with the American College of Obstetricians and Gynecologists’ (ACOG’s) AIM program (</w:t>
      </w:r>
      <w:r w:rsidRPr="00DB193D">
        <w:rPr>
          <w:sz w:val="18"/>
          <w:szCs w:val="18"/>
        </w:rPr>
        <w:t>https://safehealthcareforeverywoman.org/</w:t>
      </w:r>
      <w:r w:rsidRPr="00DB193D">
        <w:t>) to carry out this project.  AIM is a national data-driven maternal safety and quality improvement initiative based on interdisciplinary consensus-based practices to improve maternal safety and outcomes. The program provides implementation and data support for the adoption of evidence-based patient safety bundles - collections of best practices that have been vetted by experts in practice.</w:t>
      </w:r>
    </w:p>
    <w:p w14:paraId="7E859FEC" w14:textId="0AE4D08C" w:rsidR="00604475" w:rsidRPr="00DB193D" w:rsidRDefault="00604475" w:rsidP="00604475">
      <w:pPr>
        <w:pStyle w:val="ListParagraph"/>
        <w:numPr>
          <w:ilvl w:val="2"/>
          <w:numId w:val="1"/>
        </w:numPr>
        <w:spacing w:after="0"/>
      </w:pPr>
      <w:r w:rsidRPr="00DB193D">
        <w:t xml:space="preserve">Capture of </w:t>
      </w:r>
      <w:r w:rsidR="001A250E" w:rsidRPr="00DB193D">
        <w:t xml:space="preserve">this </w:t>
      </w:r>
      <w:r w:rsidRPr="00DB193D">
        <w:t>quarterly process measure</w:t>
      </w:r>
      <w:r w:rsidR="001A250E" w:rsidRPr="00DB193D">
        <w:t xml:space="preserve"> (and additional measures – see rest of document)</w:t>
      </w:r>
      <w:r w:rsidRPr="00DB193D">
        <w:t xml:space="preserve"> in the AIM Data Center is required for participation in this Maternal Safety Bundle.</w:t>
      </w:r>
    </w:p>
    <w:p w14:paraId="5267F99E" w14:textId="38C23DD3" w:rsidR="00AE5B45" w:rsidRPr="00DB193D" w:rsidRDefault="00AE5B45" w:rsidP="00604475">
      <w:pPr>
        <w:pStyle w:val="ListParagraph"/>
        <w:numPr>
          <w:ilvl w:val="2"/>
          <w:numId w:val="1"/>
        </w:numPr>
        <w:spacing w:after="0"/>
      </w:pPr>
      <w:r w:rsidRPr="00DB193D">
        <w:t>The AIM Data Center is a secure online system used to capture data from every state participating in any of their Maternal Safety Bundles.  One individual from each participating hospital will be granted access to the Data Center.  The identity of each participating hospital is masked in the Data Center – only TIPQC and each participating hospital will know the identity of each masked hospital.  Each participating hospital will be able to generate any number of reports in the Data Center on their data – includ</w:t>
      </w:r>
      <w:r w:rsidR="00F26634" w:rsidRPr="00DB193D">
        <w:t>ing</w:t>
      </w:r>
      <w:r w:rsidRPr="00DB193D">
        <w:t xml:space="preserve"> a comparison of themselves to hospitals in other states.    </w:t>
      </w:r>
    </w:p>
    <w:p w14:paraId="796001AC" w14:textId="2A8AAB71" w:rsidR="00474515" w:rsidRDefault="00474515" w:rsidP="00474515">
      <w:pPr>
        <w:spacing w:after="0"/>
      </w:pPr>
    </w:p>
    <w:p w14:paraId="574099AB" w14:textId="46C585BE" w:rsidR="00474515" w:rsidRDefault="00604475" w:rsidP="00474515">
      <w:pPr>
        <w:spacing w:after="0"/>
      </w:pPr>
      <w:r>
        <w:t xml:space="preserve">(2) </w:t>
      </w:r>
      <w:r w:rsidR="00DB1D67">
        <w:t xml:space="preserve">Quarterly capture of </w:t>
      </w:r>
      <w:r w:rsidR="009753DA">
        <w:t xml:space="preserve">AIM defined </w:t>
      </w:r>
      <w:r w:rsidR="00DB1D67">
        <w:t>Severe Maternal Morbidity (SMM) outcome measures</w:t>
      </w:r>
    </w:p>
    <w:p w14:paraId="680AFB20" w14:textId="3D748116" w:rsidR="00604475" w:rsidRPr="00DB193D" w:rsidRDefault="00DB1D67" w:rsidP="00DB1D67">
      <w:pPr>
        <w:pStyle w:val="ListParagraph"/>
        <w:numPr>
          <w:ilvl w:val="0"/>
          <w:numId w:val="2"/>
        </w:numPr>
      </w:pPr>
      <w:r>
        <w:t xml:space="preserve">The denominator (D) and numerator (N) counts for the following outcome measures will be calculated </w:t>
      </w:r>
      <w:r w:rsidR="00AE3495">
        <w:t>by the Tennessee Hospital Association (THA) for each participating hospital team using specific ICD-10 codes</w:t>
      </w:r>
      <w:r w:rsidR="009753DA">
        <w:t xml:space="preserve"> pulled from claims data</w:t>
      </w:r>
      <w:r w:rsidR="00AE3495">
        <w:t>.</w:t>
      </w:r>
      <w:r w:rsidR="009753DA">
        <w:t xml:space="preserve">  AIM has defined the specific ICD-10 codes to use for the denominators and numerators listed in the </w:t>
      </w:r>
      <w:r w:rsidR="009753DA" w:rsidRPr="00DB193D">
        <w:t>table below.</w:t>
      </w:r>
    </w:p>
    <w:p w14:paraId="32E11398" w14:textId="36121AD3" w:rsidR="00AE3495" w:rsidRPr="00DB193D" w:rsidRDefault="00AE3495" w:rsidP="009753DA">
      <w:pPr>
        <w:pStyle w:val="ListParagraph"/>
        <w:numPr>
          <w:ilvl w:val="0"/>
          <w:numId w:val="2"/>
        </w:numPr>
        <w:spacing w:after="120"/>
      </w:pPr>
      <w:r w:rsidRPr="00DB193D">
        <w:t xml:space="preserve">TIPQC will receive the tallied counts from THA </w:t>
      </w:r>
      <w:r w:rsidR="009753DA" w:rsidRPr="00DB193D">
        <w:t xml:space="preserve">(on a </w:t>
      </w:r>
      <w:proofErr w:type="gramStart"/>
      <w:r w:rsidR="009753DA" w:rsidRPr="00DB193D">
        <w:t>2 quarter</w:t>
      </w:r>
      <w:proofErr w:type="gramEnd"/>
      <w:r w:rsidR="009753DA" w:rsidRPr="00DB193D">
        <w:t xml:space="preserve"> lag basis) </w:t>
      </w:r>
      <w:r w:rsidRPr="00DB193D">
        <w:t>and upload them into the AIM Data Center on behalf of each participating hospital.</w:t>
      </w:r>
      <w:r w:rsidR="00F26634" w:rsidRPr="00DB193D">
        <w:t xml:space="preserve">  TIPQC will provide THA with the list of participating hospitals.  The participating hospital teams have granted permission for THA to calculate the required measures and for </w:t>
      </w:r>
      <w:r w:rsidR="00F26634" w:rsidRPr="00DB193D">
        <w:lastRenderedPageBreak/>
        <w:t xml:space="preserve">TIPQC to submit the measures to the AIM Data Center.  TIPQC will label each participating hospital </w:t>
      </w:r>
      <w:proofErr w:type="gramStart"/>
      <w:r w:rsidR="00F26634" w:rsidRPr="00DB193D">
        <w:t>teams</w:t>
      </w:r>
      <w:proofErr w:type="gramEnd"/>
      <w:r w:rsidR="00F26634" w:rsidRPr="00DB193D">
        <w:t xml:space="preserve"> data with </w:t>
      </w:r>
      <w:r w:rsidR="001A250E" w:rsidRPr="00DB193D">
        <w:t>their masked identifier prior to uploading</w:t>
      </w:r>
      <w:r w:rsidR="00F26634" w:rsidRPr="00DB193D">
        <w:t>.</w:t>
      </w:r>
    </w:p>
    <w:tbl>
      <w:tblPr>
        <w:tblStyle w:val="TableGrid"/>
        <w:tblW w:w="10800" w:type="dxa"/>
        <w:jc w:val="center"/>
        <w:tblLook w:val="04A0" w:firstRow="1" w:lastRow="0" w:firstColumn="1" w:lastColumn="0" w:noHBand="0" w:noVBand="1"/>
      </w:tblPr>
      <w:tblGrid>
        <w:gridCol w:w="2160"/>
        <w:gridCol w:w="8640"/>
      </w:tblGrid>
      <w:tr w:rsidR="00AE3495" w:rsidRPr="00DB193D" w14:paraId="1D4C5201" w14:textId="77777777" w:rsidTr="008F6276">
        <w:trPr>
          <w:trHeight w:val="290"/>
          <w:jc w:val="center"/>
        </w:trPr>
        <w:tc>
          <w:tcPr>
            <w:tcW w:w="2160" w:type="dxa"/>
            <w:hideMark/>
          </w:tcPr>
          <w:p w14:paraId="0E77B386" w14:textId="4A624628" w:rsidR="00AE3495" w:rsidRPr="00DB193D" w:rsidRDefault="009753DA" w:rsidP="008F6276">
            <w:pPr>
              <w:jc w:val="center"/>
              <w:rPr>
                <w:b/>
                <w:bCs/>
              </w:rPr>
            </w:pPr>
            <w:r w:rsidRPr="00DB193D">
              <w:rPr>
                <w:b/>
                <w:bCs/>
              </w:rPr>
              <w:t>Outcome measure</w:t>
            </w:r>
          </w:p>
        </w:tc>
        <w:tc>
          <w:tcPr>
            <w:tcW w:w="8640" w:type="dxa"/>
            <w:hideMark/>
          </w:tcPr>
          <w:p w14:paraId="212ED920" w14:textId="77777777" w:rsidR="00AE3495" w:rsidRPr="00DB193D" w:rsidRDefault="00AE3495" w:rsidP="008F6276">
            <w:pPr>
              <w:jc w:val="center"/>
              <w:rPr>
                <w:b/>
                <w:bCs/>
              </w:rPr>
            </w:pPr>
            <w:r w:rsidRPr="00DB193D">
              <w:rPr>
                <w:b/>
                <w:bCs/>
              </w:rPr>
              <w:t>Definition</w:t>
            </w:r>
          </w:p>
        </w:tc>
      </w:tr>
      <w:tr w:rsidR="00AE3495" w:rsidRPr="00CB74BD" w14:paraId="37746A6E" w14:textId="77777777" w:rsidTr="008F6276">
        <w:trPr>
          <w:trHeight w:val="50"/>
          <w:jc w:val="center"/>
        </w:trPr>
        <w:tc>
          <w:tcPr>
            <w:tcW w:w="2160" w:type="dxa"/>
            <w:hideMark/>
          </w:tcPr>
          <w:p w14:paraId="13F2BEBE" w14:textId="77777777" w:rsidR="00AE3495" w:rsidRPr="00DB193D" w:rsidRDefault="00AE3495" w:rsidP="008022BF">
            <w:r w:rsidRPr="00DB193D">
              <w:t>Severe Maternal Morbidity (SMM)</w:t>
            </w:r>
          </w:p>
        </w:tc>
        <w:tc>
          <w:tcPr>
            <w:tcW w:w="8640" w:type="dxa"/>
            <w:hideMark/>
          </w:tcPr>
          <w:p w14:paraId="0CE6CDB5" w14:textId="77777777" w:rsidR="009753DA" w:rsidRPr="00DB193D" w:rsidRDefault="00AE3495" w:rsidP="008022BF">
            <w:r w:rsidRPr="00DB193D">
              <w:rPr>
                <w:b/>
                <w:bCs/>
                <w:u w:val="single"/>
              </w:rPr>
              <w:t>Denominator (D)</w:t>
            </w:r>
            <w:r w:rsidRPr="00DB193D">
              <w:t xml:space="preserve">: All mothers during their birth admission, excluding </w:t>
            </w:r>
            <w:proofErr w:type="spellStart"/>
            <w:r w:rsidRPr="00DB193D">
              <w:t>ectopics</w:t>
            </w:r>
            <w:proofErr w:type="spellEnd"/>
            <w:r w:rsidRPr="00DB193D">
              <w:t xml:space="preserve"> and miscarriages</w:t>
            </w:r>
          </w:p>
          <w:p w14:paraId="628C3259" w14:textId="0D6E42DE" w:rsidR="00AE3495" w:rsidRPr="00CB74BD" w:rsidRDefault="00AE3495" w:rsidP="009753DA">
            <w:pPr>
              <w:spacing w:after="120"/>
              <w:rPr>
                <w:b/>
                <w:bCs/>
              </w:rPr>
            </w:pPr>
            <w:r w:rsidRPr="00DB193D">
              <w:rPr>
                <w:b/>
                <w:bCs/>
                <w:u w:val="single"/>
              </w:rPr>
              <w:t>Numerator (N)</w:t>
            </w:r>
            <w:r w:rsidRPr="00DB193D">
              <w:rPr>
                <w:b/>
                <w:bCs/>
              </w:rPr>
              <w:t>:</w:t>
            </w:r>
            <w:r w:rsidRPr="00DB193D">
              <w:t xml:space="preserve"> Among the denominator, all cases with any SMM code</w:t>
            </w:r>
            <w:r w:rsidRPr="00CB74BD">
              <w:t xml:space="preserve"> </w:t>
            </w:r>
          </w:p>
        </w:tc>
      </w:tr>
      <w:tr w:rsidR="00AE3495" w:rsidRPr="00CB74BD" w14:paraId="7FD95A75" w14:textId="77777777" w:rsidTr="008F6276">
        <w:trPr>
          <w:trHeight w:val="50"/>
          <w:jc w:val="center"/>
        </w:trPr>
        <w:tc>
          <w:tcPr>
            <w:tcW w:w="2160" w:type="dxa"/>
            <w:hideMark/>
          </w:tcPr>
          <w:p w14:paraId="0823DF99" w14:textId="77777777" w:rsidR="00AE3495" w:rsidRPr="00CB74BD" w:rsidRDefault="00AE3495" w:rsidP="008022BF">
            <w:r w:rsidRPr="00CB74BD">
              <w:t>SMM (excluding transfusion codes)</w:t>
            </w:r>
          </w:p>
        </w:tc>
        <w:tc>
          <w:tcPr>
            <w:tcW w:w="8640" w:type="dxa"/>
            <w:hideMark/>
          </w:tcPr>
          <w:p w14:paraId="634597B1" w14:textId="5A07F545" w:rsidR="00AE3495" w:rsidRPr="00CB74BD" w:rsidRDefault="00AE3495" w:rsidP="009753DA">
            <w:pPr>
              <w:spacing w:after="120"/>
              <w:rPr>
                <w:b/>
                <w:bCs/>
              </w:rPr>
            </w:pPr>
            <w:r w:rsidRPr="00CB74BD">
              <w:rPr>
                <w:b/>
                <w:bCs/>
                <w:u w:val="single"/>
              </w:rPr>
              <w:t>Denominator (D)</w:t>
            </w:r>
            <w:r w:rsidRPr="00CB74BD">
              <w:rPr>
                <w:b/>
                <w:bCs/>
              </w:rPr>
              <w:t xml:space="preserve">: </w:t>
            </w:r>
            <w:r w:rsidRPr="00CB74BD">
              <w:t xml:space="preserve">All mothers during their birth admission, excluding </w:t>
            </w:r>
            <w:proofErr w:type="spellStart"/>
            <w:r w:rsidRPr="00CB74BD">
              <w:t>ectopics</w:t>
            </w:r>
            <w:proofErr w:type="spellEnd"/>
            <w:r w:rsidRPr="00CB74BD">
              <w:t xml:space="preserve"> and miscarriages</w:t>
            </w:r>
            <w:r w:rsidRPr="00CB74BD">
              <w:br/>
            </w:r>
            <w:r w:rsidRPr="00CB74BD">
              <w:rPr>
                <w:b/>
                <w:bCs/>
                <w:u w:val="single"/>
              </w:rPr>
              <w:t>Numerator (N)</w:t>
            </w:r>
            <w:r w:rsidRPr="00CB74BD">
              <w:rPr>
                <w:b/>
                <w:bCs/>
              </w:rPr>
              <w:t>:</w:t>
            </w:r>
            <w:r w:rsidRPr="00CB74BD">
              <w:t xml:space="preserve"> Among the denominator, all cases with any non-transfusion SMM code</w:t>
            </w:r>
          </w:p>
        </w:tc>
      </w:tr>
      <w:tr w:rsidR="00AE3495" w:rsidRPr="00CB74BD" w14:paraId="5CE6780F" w14:textId="77777777" w:rsidTr="008F6276">
        <w:trPr>
          <w:trHeight w:val="50"/>
          <w:jc w:val="center"/>
        </w:trPr>
        <w:tc>
          <w:tcPr>
            <w:tcW w:w="2160" w:type="dxa"/>
            <w:hideMark/>
          </w:tcPr>
          <w:p w14:paraId="50702FB1" w14:textId="77777777" w:rsidR="00AE3495" w:rsidRPr="00CB74BD" w:rsidRDefault="00AE3495" w:rsidP="008022BF">
            <w:r w:rsidRPr="00CB74BD">
              <w:t xml:space="preserve">SMM </w:t>
            </w:r>
            <w:r w:rsidRPr="00CB74BD">
              <w:rPr>
                <w:i/>
                <w:iCs/>
              </w:rPr>
              <w:t>among Preeclampsia Cases</w:t>
            </w:r>
          </w:p>
        </w:tc>
        <w:tc>
          <w:tcPr>
            <w:tcW w:w="8640" w:type="dxa"/>
            <w:hideMark/>
          </w:tcPr>
          <w:p w14:paraId="7AE2766F" w14:textId="02318A62" w:rsidR="00AE3495" w:rsidRPr="00CB74BD" w:rsidRDefault="00AE3495" w:rsidP="009753DA">
            <w:pPr>
              <w:spacing w:after="120"/>
              <w:rPr>
                <w:b/>
                <w:bCs/>
              </w:rPr>
            </w:pPr>
            <w:r w:rsidRPr="00CB74BD">
              <w:rPr>
                <w:b/>
                <w:bCs/>
                <w:u w:val="single"/>
              </w:rPr>
              <w:t>Denominator (D)</w:t>
            </w:r>
            <w:r w:rsidRPr="00CB74BD">
              <w:rPr>
                <w:b/>
                <w:bCs/>
              </w:rPr>
              <w:t>:</w:t>
            </w:r>
            <w:r w:rsidRPr="00CB74BD">
              <w:t xml:space="preserve"> All mothers during their birth admission, excluding </w:t>
            </w:r>
            <w:proofErr w:type="spellStart"/>
            <w:r w:rsidRPr="00CB74BD">
              <w:t>ectopics</w:t>
            </w:r>
            <w:proofErr w:type="spellEnd"/>
            <w:r w:rsidRPr="00CB74BD">
              <w:t xml:space="preserve"> and miscarriages, with one of the following diagnosis codes: Severe Preeclampsia; Eclampsia; or Preeclampsia superimposed on pre-existing hypertension</w:t>
            </w:r>
            <w:r w:rsidRPr="00CB74BD">
              <w:br/>
            </w:r>
            <w:r w:rsidRPr="00CB74BD">
              <w:rPr>
                <w:b/>
                <w:bCs/>
              </w:rPr>
              <w:t xml:space="preserve">Numerator: </w:t>
            </w:r>
            <w:r w:rsidRPr="00CB74BD">
              <w:t>Among the denominator, cases with any SMM code</w:t>
            </w:r>
          </w:p>
        </w:tc>
      </w:tr>
      <w:tr w:rsidR="00AE3495" w:rsidRPr="00CB74BD" w14:paraId="6639A31B" w14:textId="77777777" w:rsidTr="008F6276">
        <w:trPr>
          <w:trHeight w:val="50"/>
          <w:jc w:val="center"/>
        </w:trPr>
        <w:tc>
          <w:tcPr>
            <w:tcW w:w="2160" w:type="dxa"/>
            <w:hideMark/>
          </w:tcPr>
          <w:p w14:paraId="1098BB7B" w14:textId="77777777" w:rsidR="00AE3495" w:rsidRPr="00CB74BD" w:rsidRDefault="00AE3495" w:rsidP="008022BF">
            <w:r w:rsidRPr="00CB74BD">
              <w:t xml:space="preserve">SMM (excluding transfusion codes) </w:t>
            </w:r>
            <w:r w:rsidRPr="00CB74BD">
              <w:rPr>
                <w:i/>
                <w:iCs/>
              </w:rPr>
              <w:t>among Preeclampsia Cases</w:t>
            </w:r>
          </w:p>
        </w:tc>
        <w:tc>
          <w:tcPr>
            <w:tcW w:w="8640" w:type="dxa"/>
            <w:hideMark/>
          </w:tcPr>
          <w:p w14:paraId="4E5D23F7" w14:textId="679ECB9A" w:rsidR="00AE3495" w:rsidRPr="00CB74BD" w:rsidRDefault="00AE3495" w:rsidP="009753DA">
            <w:pPr>
              <w:spacing w:after="120"/>
              <w:rPr>
                <w:b/>
                <w:bCs/>
              </w:rPr>
            </w:pPr>
            <w:r w:rsidRPr="00CB74BD">
              <w:rPr>
                <w:b/>
                <w:bCs/>
                <w:u w:val="single"/>
              </w:rPr>
              <w:t>Denominator (D)</w:t>
            </w:r>
            <w:r w:rsidRPr="00CB74BD">
              <w:rPr>
                <w:b/>
                <w:bCs/>
              </w:rPr>
              <w:t>:</w:t>
            </w:r>
            <w:r w:rsidRPr="00CB74BD">
              <w:t xml:space="preserve"> All mothers during their birth admission, excluding </w:t>
            </w:r>
            <w:proofErr w:type="spellStart"/>
            <w:r w:rsidRPr="00CB74BD">
              <w:t>ectopics</w:t>
            </w:r>
            <w:proofErr w:type="spellEnd"/>
            <w:r w:rsidRPr="00CB74BD">
              <w:t xml:space="preserve"> and miscarriages, with one of the following diagnosis codes: Severe Preeclampsia; Eclampsia; or Preeclampsia superimposed on pre-existing hypertension</w:t>
            </w:r>
            <w:r w:rsidRPr="00CB74BD">
              <w:br/>
            </w:r>
            <w:r w:rsidRPr="009753DA">
              <w:rPr>
                <w:b/>
                <w:bCs/>
                <w:u w:val="single"/>
              </w:rPr>
              <w:t>Numerator</w:t>
            </w:r>
            <w:r w:rsidR="009753DA" w:rsidRPr="009753DA">
              <w:rPr>
                <w:b/>
                <w:bCs/>
                <w:u w:val="single"/>
              </w:rPr>
              <w:t xml:space="preserve"> (N)</w:t>
            </w:r>
            <w:r w:rsidRPr="009753DA">
              <w:rPr>
                <w:b/>
                <w:bCs/>
                <w:u w:val="single"/>
              </w:rPr>
              <w:t>:</w:t>
            </w:r>
            <w:r w:rsidRPr="00CB74BD">
              <w:rPr>
                <w:b/>
                <w:bCs/>
              </w:rPr>
              <w:t xml:space="preserve"> </w:t>
            </w:r>
            <w:r w:rsidRPr="00CB74BD">
              <w:t>Among the denominator, cases with any non-transfusion SMM code</w:t>
            </w:r>
          </w:p>
        </w:tc>
      </w:tr>
    </w:tbl>
    <w:p w14:paraId="4B01A243" w14:textId="77777777" w:rsidR="008F6276" w:rsidRDefault="008F6276" w:rsidP="00924B3B">
      <w:pPr>
        <w:spacing w:after="0"/>
      </w:pPr>
    </w:p>
    <w:p w14:paraId="691FEA8A" w14:textId="3CB01AD1" w:rsidR="00AE3495" w:rsidRDefault="009753DA" w:rsidP="00924B3B">
      <w:pPr>
        <w:spacing w:after="0"/>
      </w:pPr>
      <w:r>
        <w:t xml:space="preserve">(3) </w:t>
      </w:r>
      <w:r w:rsidR="00745440">
        <w:t>Quarterly capture of AIM defined process measures</w:t>
      </w:r>
    </w:p>
    <w:p w14:paraId="244E5830" w14:textId="0A98FDB4" w:rsidR="00AE3495" w:rsidRDefault="00924B3B" w:rsidP="00924B3B">
      <w:pPr>
        <w:pStyle w:val="ListParagraph"/>
        <w:numPr>
          <w:ilvl w:val="0"/>
          <w:numId w:val="3"/>
        </w:numPr>
        <w:spacing w:after="120"/>
      </w:pPr>
      <w:r>
        <w:t>The participating hospital teams will capture these measures internally and enter them into the AIM Data Center every quarter.</w:t>
      </w:r>
    </w:p>
    <w:tbl>
      <w:tblPr>
        <w:tblStyle w:val="TableGrid"/>
        <w:tblW w:w="10800" w:type="dxa"/>
        <w:jc w:val="center"/>
        <w:tblLook w:val="04A0" w:firstRow="1" w:lastRow="0" w:firstColumn="1" w:lastColumn="0" w:noHBand="0" w:noVBand="1"/>
      </w:tblPr>
      <w:tblGrid>
        <w:gridCol w:w="1152"/>
        <w:gridCol w:w="9648"/>
      </w:tblGrid>
      <w:tr w:rsidR="00924B3B" w:rsidRPr="00CB74BD" w14:paraId="25A2DC00" w14:textId="77777777" w:rsidTr="008F6276">
        <w:trPr>
          <w:trHeight w:val="50"/>
          <w:jc w:val="center"/>
        </w:trPr>
        <w:tc>
          <w:tcPr>
            <w:tcW w:w="1152" w:type="dxa"/>
            <w:noWrap/>
          </w:tcPr>
          <w:p w14:paraId="73DB727B" w14:textId="2CF95130" w:rsidR="00924B3B" w:rsidRPr="00924B3B" w:rsidRDefault="00924B3B" w:rsidP="008F6276">
            <w:pPr>
              <w:jc w:val="center"/>
              <w:rPr>
                <w:b/>
                <w:bCs/>
              </w:rPr>
            </w:pPr>
            <w:r w:rsidRPr="00924B3B">
              <w:rPr>
                <w:b/>
                <w:bCs/>
              </w:rPr>
              <w:t>Process Measures</w:t>
            </w:r>
          </w:p>
        </w:tc>
        <w:tc>
          <w:tcPr>
            <w:tcW w:w="9648" w:type="dxa"/>
          </w:tcPr>
          <w:p w14:paraId="5A05FA9B" w14:textId="77777777" w:rsidR="008F6276" w:rsidRDefault="008F6276" w:rsidP="008F6276">
            <w:pPr>
              <w:jc w:val="center"/>
              <w:rPr>
                <w:b/>
                <w:bCs/>
              </w:rPr>
            </w:pPr>
          </w:p>
          <w:p w14:paraId="44C3C70E" w14:textId="01DB6D8A" w:rsidR="00924B3B" w:rsidRPr="00CB74BD" w:rsidRDefault="00924B3B" w:rsidP="008F6276">
            <w:pPr>
              <w:jc w:val="center"/>
              <w:rPr>
                <w:b/>
                <w:bCs/>
              </w:rPr>
            </w:pPr>
            <w:r>
              <w:rPr>
                <w:b/>
                <w:bCs/>
              </w:rPr>
              <w:t>Definition</w:t>
            </w:r>
          </w:p>
        </w:tc>
      </w:tr>
      <w:tr w:rsidR="00924B3B" w:rsidRPr="00CB74BD" w14:paraId="760694A9" w14:textId="77777777" w:rsidTr="008F6276">
        <w:trPr>
          <w:trHeight w:val="737"/>
          <w:jc w:val="center"/>
        </w:trPr>
        <w:tc>
          <w:tcPr>
            <w:tcW w:w="1152" w:type="dxa"/>
            <w:noWrap/>
            <w:hideMark/>
          </w:tcPr>
          <w:p w14:paraId="79692965" w14:textId="77777777" w:rsidR="00924B3B" w:rsidRPr="00CB74BD" w:rsidRDefault="00924B3B" w:rsidP="008022BF">
            <w:r w:rsidRPr="00CB74BD">
              <w:t xml:space="preserve">Unit Drills </w:t>
            </w:r>
          </w:p>
        </w:tc>
        <w:tc>
          <w:tcPr>
            <w:tcW w:w="9648" w:type="dxa"/>
            <w:hideMark/>
          </w:tcPr>
          <w:p w14:paraId="5265FA1B" w14:textId="52CB0164" w:rsidR="00924B3B" w:rsidRPr="00CB74BD" w:rsidRDefault="00924B3B" w:rsidP="00924B3B">
            <w:pPr>
              <w:spacing w:after="120"/>
            </w:pPr>
            <w:r w:rsidRPr="00CB74BD">
              <w:rPr>
                <w:b/>
                <w:bCs/>
              </w:rPr>
              <w:t xml:space="preserve">P1a: </w:t>
            </w:r>
            <w:r w:rsidRPr="00CB74BD">
              <w:t>In this quarter</w:t>
            </w:r>
            <w:r w:rsidRPr="00CB74BD">
              <w:rPr>
                <w:b/>
                <w:bCs/>
              </w:rPr>
              <w:t xml:space="preserve">, </w:t>
            </w:r>
            <w:r w:rsidRPr="00CB74BD">
              <w:t xml:space="preserve">how many OB drills (In Situ and/or Sim Lab) were performed on your unit </w:t>
            </w:r>
            <w:r w:rsidRPr="00CB74BD">
              <w:rPr>
                <w:i/>
                <w:iCs/>
                <w:u w:val="single"/>
              </w:rPr>
              <w:t>for any maternal safety topic</w:t>
            </w:r>
            <w:r w:rsidRPr="00CB74BD">
              <w:t>?</w:t>
            </w:r>
            <w:r w:rsidRPr="00CB74BD">
              <w:br/>
            </w:r>
            <w:r w:rsidRPr="00CB74BD">
              <w:rPr>
                <w:b/>
                <w:bCs/>
              </w:rPr>
              <w:br/>
              <w:t>P1b</w:t>
            </w:r>
            <w:r w:rsidRPr="00CB74BD">
              <w:t>: In this quarter, what topics were covered in the OB drills?</w:t>
            </w:r>
            <w:r>
              <w:t xml:space="preserve">  NOTE: </w:t>
            </w:r>
            <w:proofErr w:type="gramStart"/>
            <w:r w:rsidRPr="00CB74BD">
              <w:t>a</w:t>
            </w:r>
            <w:proofErr w:type="gramEnd"/>
            <w:r w:rsidRPr="00CB74BD">
              <w:t xml:space="preserve"> Yes/No value is captured for (</w:t>
            </w:r>
            <w:proofErr w:type="spellStart"/>
            <w:r w:rsidRPr="00CB74BD">
              <w:t>i</w:t>
            </w:r>
            <w:proofErr w:type="spellEnd"/>
            <w:r w:rsidRPr="00CB74BD">
              <w:t>) Hemorrhage, (ii) Severe Hypertension, and (iii) Other - that is, whether or not the specific topic was covered in the OB drills performed in the quarter.</w:t>
            </w:r>
          </w:p>
        </w:tc>
      </w:tr>
      <w:tr w:rsidR="00924B3B" w:rsidRPr="00CB74BD" w14:paraId="22B39D37" w14:textId="77777777" w:rsidTr="008F6276">
        <w:trPr>
          <w:trHeight w:val="917"/>
          <w:jc w:val="center"/>
        </w:trPr>
        <w:tc>
          <w:tcPr>
            <w:tcW w:w="1152" w:type="dxa"/>
            <w:hideMark/>
          </w:tcPr>
          <w:p w14:paraId="1367108B" w14:textId="77777777" w:rsidR="00924B3B" w:rsidRPr="00CB74BD" w:rsidRDefault="00924B3B" w:rsidP="008022BF">
            <w:r w:rsidRPr="00CB74BD">
              <w:t>Provider Education</w:t>
            </w:r>
          </w:p>
        </w:tc>
        <w:tc>
          <w:tcPr>
            <w:tcW w:w="9648" w:type="dxa"/>
            <w:hideMark/>
          </w:tcPr>
          <w:p w14:paraId="73F24DDB" w14:textId="6D64BA69" w:rsidR="00924B3B" w:rsidRPr="00CB74BD" w:rsidRDefault="00924B3B" w:rsidP="00924B3B">
            <w:pPr>
              <w:spacing w:after="120"/>
            </w:pPr>
            <w:r w:rsidRPr="00CB74BD">
              <w:rPr>
                <w:b/>
                <w:bCs/>
              </w:rPr>
              <w:t>P2</w:t>
            </w:r>
            <w:r w:rsidRPr="00CB74BD">
              <w:t xml:space="preserve">:  </w:t>
            </w:r>
            <w:r w:rsidR="00DB193D" w:rsidRPr="00DB193D">
              <w:t xml:space="preserve">At the end of this reporting period, what cumulative proportion of delivering physicians and midwives has completed within the last two years an education program on Severe Hypertension/Preeclampsia that includes the </w:t>
            </w:r>
            <w:r w:rsidR="00DB193D" w:rsidRPr="00DB193D">
              <w:rPr>
                <w:i/>
                <w:iCs/>
                <w:u w:val="single"/>
              </w:rPr>
              <w:t>unit-standard protocols and measures</w:t>
            </w:r>
            <w:r w:rsidR="00DB193D" w:rsidRPr="00DB193D">
              <w:t>?</w:t>
            </w:r>
          </w:p>
        </w:tc>
      </w:tr>
      <w:tr w:rsidR="00924B3B" w:rsidRPr="00CB74BD" w14:paraId="3256C178" w14:textId="77777777" w:rsidTr="008F6276">
        <w:trPr>
          <w:trHeight w:val="50"/>
          <w:jc w:val="center"/>
        </w:trPr>
        <w:tc>
          <w:tcPr>
            <w:tcW w:w="1152" w:type="dxa"/>
            <w:hideMark/>
          </w:tcPr>
          <w:p w14:paraId="06EF4A5C" w14:textId="77777777" w:rsidR="00924B3B" w:rsidRPr="00CB74BD" w:rsidRDefault="00924B3B" w:rsidP="008022BF">
            <w:r w:rsidRPr="00CB74BD">
              <w:t xml:space="preserve">Nursing Education </w:t>
            </w:r>
          </w:p>
        </w:tc>
        <w:tc>
          <w:tcPr>
            <w:tcW w:w="9648" w:type="dxa"/>
            <w:hideMark/>
          </w:tcPr>
          <w:p w14:paraId="25047215" w14:textId="71717CCD" w:rsidR="00924B3B" w:rsidRPr="00CB74BD" w:rsidRDefault="00924B3B" w:rsidP="00924B3B">
            <w:pPr>
              <w:spacing w:after="120"/>
            </w:pPr>
            <w:r w:rsidRPr="00CB74BD">
              <w:rPr>
                <w:b/>
                <w:bCs/>
              </w:rPr>
              <w:t>P3</w:t>
            </w:r>
            <w:r w:rsidRPr="00CB74BD">
              <w:t xml:space="preserve">:  </w:t>
            </w:r>
            <w:r w:rsidR="00DB193D" w:rsidRPr="00DB193D">
              <w:t xml:space="preserve">At the end of this reporting period, what cumulative proportion of OB nurses (including L&amp;D and postpartum) has completed within the last two years an education program on Severe Hypertension/Preeclampsia that includes the </w:t>
            </w:r>
            <w:r w:rsidR="00DB193D" w:rsidRPr="00DB193D">
              <w:rPr>
                <w:i/>
                <w:iCs/>
                <w:u w:val="single"/>
              </w:rPr>
              <w:t>unit-standard protocols and measures</w:t>
            </w:r>
            <w:r w:rsidR="00DB193D" w:rsidRPr="00DB193D">
              <w:t>?</w:t>
            </w:r>
          </w:p>
        </w:tc>
      </w:tr>
    </w:tbl>
    <w:p w14:paraId="1F2254C8" w14:textId="29CDAAAD" w:rsidR="001A250E" w:rsidRDefault="001A250E" w:rsidP="00DB193D">
      <w:pPr>
        <w:spacing w:after="0"/>
      </w:pPr>
    </w:p>
    <w:p w14:paraId="5B866D1D" w14:textId="07212F5A" w:rsidR="00924B3B" w:rsidRDefault="00924B3B" w:rsidP="00924B3B">
      <w:pPr>
        <w:spacing w:after="0"/>
      </w:pPr>
      <w:r>
        <w:t>(4) Capture of AIM defined structure measures</w:t>
      </w:r>
    </w:p>
    <w:p w14:paraId="4F14E227" w14:textId="5ED7BACA" w:rsidR="00924B3B" w:rsidRDefault="00924B3B" w:rsidP="00924B3B">
      <w:pPr>
        <w:pStyle w:val="ListParagraph"/>
        <w:numPr>
          <w:ilvl w:val="0"/>
          <w:numId w:val="3"/>
        </w:numPr>
        <w:spacing w:after="120"/>
      </w:pPr>
      <w:r>
        <w:t xml:space="preserve">The participating hospital teams will </w:t>
      </w:r>
      <w:r w:rsidR="008F6276">
        <w:t>review each of the following structure measures in the AIM Data Center every quarter (when capturing the process measures above) and capture a completion/start date, if relevant</w:t>
      </w:r>
      <w:r>
        <w:t>.</w:t>
      </w:r>
    </w:p>
    <w:tbl>
      <w:tblPr>
        <w:tblStyle w:val="TableGrid"/>
        <w:tblW w:w="0" w:type="auto"/>
        <w:jc w:val="center"/>
        <w:tblLook w:val="04A0" w:firstRow="1" w:lastRow="0" w:firstColumn="1" w:lastColumn="0" w:noHBand="0" w:noVBand="1"/>
      </w:tblPr>
      <w:tblGrid>
        <w:gridCol w:w="2016"/>
        <w:gridCol w:w="8640"/>
      </w:tblGrid>
      <w:tr w:rsidR="008F6276" w:rsidRPr="00CB74BD" w14:paraId="27AD6005" w14:textId="77777777" w:rsidTr="008F6276">
        <w:trPr>
          <w:trHeight w:val="290"/>
          <w:jc w:val="center"/>
        </w:trPr>
        <w:tc>
          <w:tcPr>
            <w:tcW w:w="2016" w:type="dxa"/>
            <w:hideMark/>
          </w:tcPr>
          <w:p w14:paraId="2BC7C030" w14:textId="712DB73C" w:rsidR="008F6276" w:rsidRPr="00CB74BD" w:rsidRDefault="008F6276" w:rsidP="008F6276">
            <w:pPr>
              <w:jc w:val="center"/>
              <w:rPr>
                <w:b/>
                <w:bCs/>
              </w:rPr>
            </w:pPr>
            <w:r>
              <w:rPr>
                <w:b/>
                <w:bCs/>
              </w:rPr>
              <w:t>Structure Measure</w:t>
            </w:r>
          </w:p>
        </w:tc>
        <w:tc>
          <w:tcPr>
            <w:tcW w:w="8640" w:type="dxa"/>
            <w:hideMark/>
          </w:tcPr>
          <w:p w14:paraId="2924C6E5" w14:textId="77777777" w:rsidR="008F6276" w:rsidRPr="00CB74BD" w:rsidRDefault="008F6276" w:rsidP="008F6276">
            <w:pPr>
              <w:jc w:val="center"/>
              <w:rPr>
                <w:b/>
                <w:bCs/>
              </w:rPr>
            </w:pPr>
            <w:r w:rsidRPr="00CB74BD">
              <w:rPr>
                <w:b/>
                <w:bCs/>
              </w:rPr>
              <w:t>Description</w:t>
            </w:r>
          </w:p>
        </w:tc>
      </w:tr>
      <w:tr w:rsidR="008F6276" w:rsidRPr="00CB74BD" w14:paraId="3E631F16" w14:textId="77777777" w:rsidTr="008F6276">
        <w:trPr>
          <w:trHeight w:val="50"/>
          <w:jc w:val="center"/>
        </w:trPr>
        <w:tc>
          <w:tcPr>
            <w:tcW w:w="2016" w:type="dxa"/>
            <w:hideMark/>
          </w:tcPr>
          <w:p w14:paraId="230A77F8" w14:textId="77777777" w:rsidR="008F6276" w:rsidRPr="00CB74BD" w:rsidRDefault="008F6276" w:rsidP="008022BF">
            <w:r w:rsidRPr="00CB74BD">
              <w:t>Patient, Family &amp; Staff Support</w:t>
            </w:r>
          </w:p>
        </w:tc>
        <w:tc>
          <w:tcPr>
            <w:tcW w:w="8640" w:type="dxa"/>
            <w:hideMark/>
          </w:tcPr>
          <w:p w14:paraId="63A935A4" w14:textId="77777777" w:rsidR="008F6276" w:rsidRPr="00CB74BD" w:rsidRDefault="008F6276" w:rsidP="008F6276">
            <w:pPr>
              <w:spacing w:after="120"/>
            </w:pPr>
            <w:r w:rsidRPr="00CB74BD">
              <w:rPr>
                <w:b/>
                <w:bCs/>
              </w:rPr>
              <w:t>Report Completion Date</w:t>
            </w:r>
            <w:r w:rsidRPr="00CB74BD">
              <w:br/>
              <w:t xml:space="preserve">Has your hospital developed OB specific resources and protocols to support patients, </w:t>
            </w:r>
            <w:proofErr w:type="gramStart"/>
            <w:r w:rsidRPr="00CB74BD">
              <w:t>family</w:t>
            </w:r>
            <w:proofErr w:type="gramEnd"/>
            <w:r w:rsidRPr="00CB74BD">
              <w:t xml:space="preserve"> and staff through major OB complications?</w:t>
            </w:r>
          </w:p>
        </w:tc>
      </w:tr>
      <w:tr w:rsidR="008F6276" w:rsidRPr="00CB74BD" w14:paraId="3612F4C9" w14:textId="77777777" w:rsidTr="00DB193D">
        <w:trPr>
          <w:trHeight w:val="800"/>
          <w:jc w:val="center"/>
        </w:trPr>
        <w:tc>
          <w:tcPr>
            <w:tcW w:w="2016" w:type="dxa"/>
            <w:hideMark/>
          </w:tcPr>
          <w:p w14:paraId="3D72BDC2" w14:textId="77777777" w:rsidR="008F6276" w:rsidRPr="00CB74BD" w:rsidRDefault="008F6276" w:rsidP="008022BF">
            <w:r w:rsidRPr="00CB74BD">
              <w:lastRenderedPageBreak/>
              <w:t xml:space="preserve">Debriefs </w:t>
            </w:r>
          </w:p>
        </w:tc>
        <w:tc>
          <w:tcPr>
            <w:tcW w:w="8640" w:type="dxa"/>
            <w:hideMark/>
          </w:tcPr>
          <w:p w14:paraId="75E69AA2" w14:textId="77777777" w:rsidR="008F6276" w:rsidRPr="00CB74BD" w:rsidRDefault="008F6276" w:rsidP="008F6276">
            <w:pPr>
              <w:spacing w:after="120"/>
            </w:pPr>
            <w:r w:rsidRPr="00CB74BD">
              <w:rPr>
                <w:b/>
                <w:bCs/>
              </w:rPr>
              <w:t>Report Start Date</w:t>
            </w:r>
            <w:r w:rsidRPr="00CB74BD">
              <w:br/>
              <w:t>Has your hospital established a system in your hospital to perform regular formal debriefs after cases with major complications?</w:t>
            </w:r>
          </w:p>
        </w:tc>
      </w:tr>
      <w:tr w:rsidR="008F6276" w:rsidRPr="00CB74BD" w14:paraId="170F600A" w14:textId="77777777" w:rsidTr="008F6276">
        <w:trPr>
          <w:trHeight w:val="1008"/>
          <w:jc w:val="center"/>
        </w:trPr>
        <w:tc>
          <w:tcPr>
            <w:tcW w:w="2016" w:type="dxa"/>
            <w:hideMark/>
          </w:tcPr>
          <w:p w14:paraId="7F328B8D" w14:textId="77777777" w:rsidR="008F6276" w:rsidRPr="00CB74BD" w:rsidRDefault="008F6276" w:rsidP="008022BF">
            <w:r w:rsidRPr="00CB74BD">
              <w:t>Multidisciplinary Case Reviews</w:t>
            </w:r>
          </w:p>
        </w:tc>
        <w:tc>
          <w:tcPr>
            <w:tcW w:w="8640" w:type="dxa"/>
            <w:hideMark/>
          </w:tcPr>
          <w:p w14:paraId="51208F7E" w14:textId="239EEC2F" w:rsidR="008F6276" w:rsidRPr="00CB74BD" w:rsidRDefault="008F6276" w:rsidP="008F6276">
            <w:pPr>
              <w:spacing w:after="120"/>
            </w:pPr>
            <w:r w:rsidRPr="00CB74BD">
              <w:rPr>
                <w:b/>
                <w:bCs/>
              </w:rPr>
              <w:t>Report Start Date</w:t>
            </w:r>
            <w:r w:rsidRPr="00CB74BD">
              <w:br/>
            </w:r>
            <w:r w:rsidR="00DB193D" w:rsidRPr="00DB193D">
              <w:t>Has your hospital established a process to perform multidisciplinary systems-level reviews on cases of severe maternal morbidity (including, at minimum, birthing patients admitted to the ICU or receiving ≥4 units RBC transfusions)?</w:t>
            </w:r>
          </w:p>
        </w:tc>
      </w:tr>
      <w:tr w:rsidR="008F6276" w:rsidRPr="00CB74BD" w14:paraId="3CDD6FAA" w14:textId="77777777" w:rsidTr="008F6276">
        <w:trPr>
          <w:trHeight w:val="1152"/>
          <w:jc w:val="center"/>
        </w:trPr>
        <w:tc>
          <w:tcPr>
            <w:tcW w:w="2016" w:type="dxa"/>
            <w:hideMark/>
          </w:tcPr>
          <w:p w14:paraId="41D04C6E" w14:textId="77777777" w:rsidR="008F6276" w:rsidRPr="00CB74BD" w:rsidRDefault="008F6276" w:rsidP="008022BF">
            <w:r w:rsidRPr="00CB74BD">
              <w:t>Unit Policy and Procedure</w:t>
            </w:r>
          </w:p>
        </w:tc>
        <w:tc>
          <w:tcPr>
            <w:tcW w:w="8640" w:type="dxa"/>
            <w:hideMark/>
          </w:tcPr>
          <w:p w14:paraId="6F10E2E3" w14:textId="77777777" w:rsidR="008F6276" w:rsidRPr="00CB74BD" w:rsidRDefault="008F6276" w:rsidP="008F6276">
            <w:pPr>
              <w:spacing w:after="120"/>
            </w:pPr>
            <w:r w:rsidRPr="00CB74BD">
              <w:rPr>
                <w:b/>
                <w:bCs/>
              </w:rPr>
              <w:t>Report Completion Date</w:t>
            </w:r>
            <w:r w:rsidRPr="00CB74BD">
              <w:rPr>
                <w:b/>
                <w:bCs/>
              </w:rPr>
              <w:br/>
            </w:r>
            <w:r w:rsidRPr="00CB74BD">
              <w:t xml:space="preserve">Does your hospital have a Severe HTN/Preeclampsia policy and procedure (reviewed and updated in the last 2-3 years) that provides a unit-standard approach to measuring blood pressure, treatment of Severe HTN/Preeclampsia, administration of Magnesium Sulfate,  and treatment of Magnesium Sulfate overdose?  </w:t>
            </w:r>
          </w:p>
        </w:tc>
      </w:tr>
      <w:tr w:rsidR="008F6276" w:rsidRPr="00CB74BD" w14:paraId="4A412FA5" w14:textId="77777777" w:rsidTr="008F6276">
        <w:trPr>
          <w:trHeight w:val="864"/>
          <w:jc w:val="center"/>
        </w:trPr>
        <w:tc>
          <w:tcPr>
            <w:tcW w:w="2016" w:type="dxa"/>
            <w:hideMark/>
          </w:tcPr>
          <w:p w14:paraId="32091381" w14:textId="77777777" w:rsidR="008F6276" w:rsidRPr="00CB74BD" w:rsidRDefault="008F6276" w:rsidP="008022BF">
            <w:r w:rsidRPr="00CB74BD">
              <w:t>EHR Integration</w:t>
            </w:r>
          </w:p>
        </w:tc>
        <w:tc>
          <w:tcPr>
            <w:tcW w:w="8640" w:type="dxa"/>
            <w:hideMark/>
          </w:tcPr>
          <w:p w14:paraId="213DFE1A" w14:textId="77777777" w:rsidR="008F6276" w:rsidRPr="00CB74BD" w:rsidRDefault="008F6276" w:rsidP="008F6276">
            <w:pPr>
              <w:spacing w:after="120"/>
            </w:pPr>
            <w:r w:rsidRPr="00CB74BD">
              <w:rPr>
                <w:b/>
                <w:bCs/>
              </w:rPr>
              <w:t>Report Completion Date</w:t>
            </w:r>
            <w:r w:rsidRPr="00CB74BD">
              <w:rPr>
                <w:b/>
                <w:bCs/>
              </w:rPr>
              <w:br/>
            </w:r>
            <w:r w:rsidRPr="00CB74BD">
              <w:t>Were some of the recommended Severe HTN/Preeclampsia bundle processes (i.e. order sets, tracking tools) integrated into your hospital’s Electronic Health Record system?</w:t>
            </w:r>
          </w:p>
        </w:tc>
      </w:tr>
    </w:tbl>
    <w:p w14:paraId="47C9FABA" w14:textId="77777777" w:rsidR="001A250E" w:rsidRDefault="001A250E" w:rsidP="00474515">
      <w:pPr>
        <w:spacing w:after="0"/>
      </w:pPr>
    </w:p>
    <w:p w14:paraId="0579A457" w14:textId="77777777" w:rsidR="001A250E" w:rsidRDefault="001A250E">
      <w:r>
        <w:br w:type="page"/>
      </w:r>
    </w:p>
    <w:p w14:paraId="6F21087A" w14:textId="2AA48B1D" w:rsidR="00474515" w:rsidRDefault="00604475" w:rsidP="00474515">
      <w:pPr>
        <w:spacing w:after="0"/>
      </w:pPr>
      <w:r>
        <w:lastRenderedPageBreak/>
        <w:t>Table 1:</w:t>
      </w:r>
    </w:p>
    <w:p w14:paraId="069C4FD9" w14:textId="77777777" w:rsidR="00604475" w:rsidRDefault="00604475" w:rsidP="00474515">
      <w:pPr>
        <w:spacing w:after="0"/>
      </w:pPr>
    </w:p>
    <w:tbl>
      <w:tblPr>
        <w:tblStyle w:val="TableGrid"/>
        <w:tblW w:w="9818" w:type="dxa"/>
        <w:jc w:val="center"/>
        <w:tblLook w:val="04A0" w:firstRow="1" w:lastRow="0" w:firstColumn="1" w:lastColumn="0" w:noHBand="0" w:noVBand="1"/>
      </w:tblPr>
      <w:tblGrid>
        <w:gridCol w:w="1007"/>
        <w:gridCol w:w="1099"/>
        <w:gridCol w:w="3104"/>
        <w:gridCol w:w="576"/>
        <w:gridCol w:w="576"/>
        <w:gridCol w:w="576"/>
        <w:gridCol w:w="576"/>
        <w:gridCol w:w="576"/>
        <w:gridCol w:w="576"/>
        <w:gridCol w:w="576"/>
        <w:gridCol w:w="576"/>
      </w:tblGrid>
      <w:tr w:rsidR="00CB74BD" w:rsidRPr="00CB74BD" w14:paraId="7848D7DA" w14:textId="77777777" w:rsidTr="004A3479">
        <w:trPr>
          <w:trHeight w:val="290"/>
          <w:jc w:val="center"/>
        </w:trPr>
        <w:tc>
          <w:tcPr>
            <w:tcW w:w="9818" w:type="dxa"/>
            <w:gridSpan w:val="11"/>
            <w:shd w:val="clear" w:color="auto" w:fill="000000" w:themeFill="text1"/>
            <w:noWrap/>
            <w:hideMark/>
          </w:tcPr>
          <w:p w14:paraId="5E3D7F48" w14:textId="645424EA" w:rsidR="00CB74BD" w:rsidRPr="00CB74BD" w:rsidRDefault="00CB74BD" w:rsidP="00D0747A">
            <w:pPr>
              <w:jc w:val="center"/>
              <w:rPr>
                <w:b/>
                <w:bCs/>
                <w:color w:val="FFFFFF" w:themeColor="background1"/>
              </w:rPr>
            </w:pPr>
            <w:r w:rsidRPr="00CB74BD">
              <w:rPr>
                <w:b/>
                <w:bCs/>
                <w:color w:val="FFFFFF" w:themeColor="background1"/>
              </w:rPr>
              <w:t>SEVERE MATERNAL HYPERTENSION</w:t>
            </w:r>
          </w:p>
        </w:tc>
      </w:tr>
      <w:tr w:rsidR="00CB74BD" w:rsidRPr="00CB74BD" w14:paraId="61071F90" w14:textId="77777777" w:rsidTr="004A3479">
        <w:trPr>
          <w:trHeight w:val="290"/>
          <w:jc w:val="center"/>
        </w:trPr>
        <w:tc>
          <w:tcPr>
            <w:tcW w:w="9818" w:type="dxa"/>
            <w:gridSpan w:val="11"/>
            <w:shd w:val="clear" w:color="auto" w:fill="000000" w:themeFill="text1"/>
            <w:noWrap/>
            <w:hideMark/>
          </w:tcPr>
          <w:p w14:paraId="1D8DB936" w14:textId="77777777" w:rsidR="00CB74BD" w:rsidRPr="00CB74BD" w:rsidRDefault="00CB74BD" w:rsidP="00D0747A">
            <w:pPr>
              <w:jc w:val="center"/>
              <w:rPr>
                <w:b/>
                <w:bCs/>
                <w:color w:val="FFFFFF" w:themeColor="background1"/>
              </w:rPr>
            </w:pPr>
            <w:r w:rsidRPr="00CB74BD">
              <w:rPr>
                <w:b/>
                <w:bCs/>
                <w:color w:val="FFFFFF" w:themeColor="background1"/>
              </w:rPr>
              <w:t>MONTHLY PROCESS MEASURE TO BE CAPTURED BY EACH PARTICIPATING HOSPITAL TEAM</w:t>
            </w:r>
          </w:p>
        </w:tc>
      </w:tr>
      <w:tr w:rsidR="00CB74BD" w:rsidRPr="00CB74BD" w14:paraId="02424B15" w14:textId="77777777" w:rsidTr="004A3479">
        <w:trPr>
          <w:trHeight w:val="290"/>
          <w:jc w:val="center"/>
        </w:trPr>
        <w:tc>
          <w:tcPr>
            <w:tcW w:w="1007"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noWrap/>
            <w:hideMark/>
          </w:tcPr>
          <w:p w14:paraId="505E913B" w14:textId="77777777" w:rsidR="00CB74BD" w:rsidRPr="00CB74BD" w:rsidRDefault="00CB74BD" w:rsidP="00D0747A">
            <w:pPr>
              <w:rPr>
                <w:i/>
                <w:iCs/>
              </w:rPr>
            </w:pPr>
          </w:p>
        </w:tc>
        <w:tc>
          <w:tcPr>
            <w:tcW w:w="10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hideMark/>
          </w:tcPr>
          <w:p w14:paraId="56F66145" w14:textId="77777777" w:rsidR="00CB74BD" w:rsidRPr="00CB74BD" w:rsidRDefault="00CB74BD" w:rsidP="00D0747A"/>
        </w:tc>
        <w:tc>
          <w:tcPr>
            <w:tcW w:w="3104"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noWrap/>
            <w:hideMark/>
          </w:tcPr>
          <w:p w14:paraId="44FE6FEE" w14:textId="77777777" w:rsidR="00CB74BD" w:rsidRPr="00CB74BD" w:rsidRDefault="00CB74BD" w:rsidP="00D0747A"/>
        </w:tc>
        <w:tc>
          <w:tcPr>
            <w:tcW w:w="4608" w:type="dxa"/>
            <w:gridSpan w:val="8"/>
            <w:tcBorders>
              <w:left w:val="single" w:sz="4" w:space="0" w:color="auto"/>
            </w:tcBorders>
            <w:noWrap/>
            <w:hideMark/>
          </w:tcPr>
          <w:p w14:paraId="7018CB75" w14:textId="51D14EBB" w:rsidR="00CB74BD" w:rsidRPr="00CB74BD" w:rsidRDefault="00CB74BD" w:rsidP="00D0747A">
            <w:pPr>
              <w:jc w:val="center"/>
              <w:rPr>
                <w:b/>
                <w:bCs/>
              </w:rPr>
            </w:pPr>
            <w:r w:rsidRPr="00CB74BD">
              <w:rPr>
                <w:b/>
                <w:bCs/>
              </w:rPr>
              <w:t xml:space="preserve">P4M: </w:t>
            </w:r>
            <w:r w:rsidR="00DB193D">
              <w:rPr>
                <w:b/>
                <w:bCs/>
              </w:rPr>
              <w:t>Treatment of Sever HTN</w:t>
            </w:r>
          </w:p>
        </w:tc>
      </w:tr>
      <w:tr w:rsidR="004A3479" w:rsidRPr="00CB74BD" w14:paraId="3A1E3670" w14:textId="77777777" w:rsidTr="004A3479">
        <w:trPr>
          <w:trHeight w:val="290"/>
          <w:jc w:val="center"/>
        </w:trPr>
        <w:tc>
          <w:tcPr>
            <w:tcW w:w="1007"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noWrap/>
            <w:hideMark/>
          </w:tcPr>
          <w:p w14:paraId="4447169B" w14:textId="77777777" w:rsidR="00CB74BD" w:rsidRPr="00CB74BD" w:rsidRDefault="00CB74BD" w:rsidP="00D0747A">
            <w:pPr>
              <w:rPr>
                <w:b/>
                <w:bCs/>
              </w:rPr>
            </w:pPr>
          </w:p>
        </w:tc>
        <w:tc>
          <w:tcPr>
            <w:tcW w:w="10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hideMark/>
          </w:tcPr>
          <w:p w14:paraId="763B1811" w14:textId="77777777" w:rsidR="00CB74BD" w:rsidRPr="00CB74BD" w:rsidRDefault="00CB74BD" w:rsidP="00D0747A"/>
        </w:tc>
        <w:tc>
          <w:tcPr>
            <w:tcW w:w="3104"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noWrap/>
            <w:hideMark/>
          </w:tcPr>
          <w:p w14:paraId="54173A43" w14:textId="77777777" w:rsidR="00CB74BD" w:rsidRPr="00CB74BD" w:rsidRDefault="00CB74BD" w:rsidP="00D0747A"/>
        </w:tc>
        <w:tc>
          <w:tcPr>
            <w:tcW w:w="1152" w:type="dxa"/>
            <w:gridSpan w:val="2"/>
            <w:tcBorders>
              <w:left w:val="single" w:sz="4" w:space="0" w:color="auto"/>
            </w:tcBorders>
            <w:noWrap/>
            <w:hideMark/>
          </w:tcPr>
          <w:p w14:paraId="6E460F00" w14:textId="77777777" w:rsidR="00CB74BD" w:rsidRDefault="00CB74BD" w:rsidP="00D0747A">
            <w:pPr>
              <w:jc w:val="center"/>
              <w:rPr>
                <w:b/>
                <w:bCs/>
              </w:rPr>
            </w:pPr>
          </w:p>
          <w:p w14:paraId="1A23005F" w14:textId="73005191" w:rsidR="00CB74BD" w:rsidRPr="00CB74BD" w:rsidRDefault="00CB74BD" w:rsidP="00D0747A">
            <w:pPr>
              <w:jc w:val="center"/>
              <w:rPr>
                <w:b/>
                <w:bCs/>
              </w:rPr>
            </w:pPr>
            <w:r w:rsidRPr="00CB74BD">
              <w:rPr>
                <w:b/>
                <w:bCs/>
              </w:rPr>
              <w:t>Overall</w:t>
            </w:r>
          </w:p>
        </w:tc>
        <w:tc>
          <w:tcPr>
            <w:tcW w:w="1152" w:type="dxa"/>
            <w:gridSpan w:val="2"/>
            <w:noWrap/>
            <w:hideMark/>
          </w:tcPr>
          <w:p w14:paraId="58EB85C7" w14:textId="77777777" w:rsidR="00CB74BD" w:rsidRDefault="00CB74BD" w:rsidP="00D0747A">
            <w:pPr>
              <w:jc w:val="center"/>
              <w:rPr>
                <w:b/>
                <w:bCs/>
              </w:rPr>
            </w:pPr>
          </w:p>
          <w:p w14:paraId="4BD202CB" w14:textId="10BA5F6D" w:rsidR="00CB74BD" w:rsidRPr="00CB74BD" w:rsidRDefault="00CB74BD" w:rsidP="00D0747A">
            <w:pPr>
              <w:jc w:val="center"/>
              <w:rPr>
                <w:b/>
                <w:bCs/>
              </w:rPr>
            </w:pPr>
            <w:r w:rsidRPr="00CB74BD">
              <w:rPr>
                <w:b/>
                <w:bCs/>
              </w:rPr>
              <w:t>White</w:t>
            </w:r>
          </w:p>
        </w:tc>
        <w:tc>
          <w:tcPr>
            <w:tcW w:w="1152" w:type="dxa"/>
            <w:gridSpan w:val="2"/>
            <w:noWrap/>
            <w:hideMark/>
          </w:tcPr>
          <w:p w14:paraId="153024CC" w14:textId="354B07A2" w:rsidR="00CB74BD" w:rsidRDefault="00CB74BD" w:rsidP="00D0747A">
            <w:pPr>
              <w:jc w:val="center"/>
              <w:rPr>
                <w:b/>
                <w:bCs/>
              </w:rPr>
            </w:pPr>
            <w:r w:rsidRPr="00CB74BD">
              <w:rPr>
                <w:b/>
                <w:bCs/>
              </w:rPr>
              <w:t>Black /</w:t>
            </w:r>
          </w:p>
          <w:p w14:paraId="52C20E1F" w14:textId="1E434163" w:rsidR="00CB74BD" w:rsidRPr="00CB74BD" w:rsidRDefault="00CB74BD" w:rsidP="00D0747A">
            <w:pPr>
              <w:jc w:val="center"/>
              <w:rPr>
                <w:b/>
                <w:bCs/>
              </w:rPr>
            </w:pPr>
            <w:proofErr w:type="spellStart"/>
            <w:r w:rsidRPr="00CB74BD">
              <w:rPr>
                <w:b/>
                <w:bCs/>
              </w:rPr>
              <w:t>Af</w:t>
            </w:r>
            <w:proofErr w:type="spellEnd"/>
            <w:r w:rsidRPr="00CB74BD">
              <w:rPr>
                <w:b/>
                <w:bCs/>
              </w:rPr>
              <w:t xml:space="preserve"> Amer</w:t>
            </w:r>
          </w:p>
        </w:tc>
        <w:tc>
          <w:tcPr>
            <w:tcW w:w="1152" w:type="dxa"/>
            <w:gridSpan w:val="2"/>
            <w:noWrap/>
            <w:hideMark/>
          </w:tcPr>
          <w:p w14:paraId="3F41CFFA" w14:textId="77777777" w:rsidR="00CB74BD" w:rsidRDefault="00CB74BD" w:rsidP="00D0747A">
            <w:pPr>
              <w:jc w:val="center"/>
              <w:rPr>
                <w:b/>
                <w:bCs/>
              </w:rPr>
            </w:pPr>
          </w:p>
          <w:p w14:paraId="79A49612" w14:textId="5E781170" w:rsidR="00CB74BD" w:rsidRPr="00CB74BD" w:rsidRDefault="00CB74BD" w:rsidP="00D0747A">
            <w:pPr>
              <w:jc w:val="center"/>
              <w:rPr>
                <w:b/>
                <w:bCs/>
              </w:rPr>
            </w:pPr>
            <w:r w:rsidRPr="00CB74BD">
              <w:rPr>
                <w:b/>
                <w:bCs/>
              </w:rPr>
              <w:t>Hispanic</w:t>
            </w:r>
          </w:p>
        </w:tc>
      </w:tr>
      <w:tr w:rsidR="00CB74BD" w:rsidRPr="00CB74BD" w14:paraId="4A2A83C5" w14:textId="77777777" w:rsidTr="004A3479">
        <w:trPr>
          <w:trHeight w:val="300"/>
          <w:jc w:val="center"/>
        </w:trPr>
        <w:tc>
          <w:tcPr>
            <w:tcW w:w="1007"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noWrap/>
            <w:hideMark/>
          </w:tcPr>
          <w:p w14:paraId="341B30F1" w14:textId="77777777" w:rsidR="00CB74BD" w:rsidRPr="00CB74BD" w:rsidRDefault="00CB74BD" w:rsidP="00D0747A">
            <w:pPr>
              <w:jc w:val="center"/>
              <w:rPr>
                <w:b/>
                <w:bCs/>
              </w:rPr>
            </w:pPr>
            <w:r w:rsidRPr="00CB74BD">
              <w:rPr>
                <w:b/>
                <w:bCs/>
              </w:rPr>
              <w:t>Month</w:t>
            </w:r>
          </w:p>
        </w:tc>
        <w:tc>
          <w:tcPr>
            <w:tcW w:w="1099"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noWrap/>
            <w:hideMark/>
          </w:tcPr>
          <w:p w14:paraId="1231679E" w14:textId="77777777" w:rsidR="00CB74BD" w:rsidRPr="00CB74BD" w:rsidRDefault="00CB74BD" w:rsidP="00D0747A">
            <w:pPr>
              <w:jc w:val="center"/>
              <w:rPr>
                <w:b/>
                <w:bCs/>
              </w:rPr>
            </w:pPr>
            <w:r w:rsidRPr="00CB74BD">
              <w:rPr>
                <w:b/>
                <w:bCs/>
              </w:rPr>
              <w:t>Quarter</w:t>
            </w:r>
          </w:p>
        </w:tc>
        <w:tc>
          <w:tcPr>
            <w:tcW w:w="3104"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noWrap/>
            <w:hideMark/>
          </w:tcPr>
          <w:p w14:paraId="0C60D89E" w14:textId="77777777" w:rsidR="00CB74BD" w:rsidRPr="00CB74BD" w:rsidRDefault="00CB74BD" w:rsidP="00D0747A">
            <w:pPr>
              <w:jc w:val="center"/>
              <w:rPr>
                <w:b/>
                <w:bCs/>
              </w:rPr>
            </w:pPr>
            <w:r w:rsidRPr="00CB74BD">
              <w:rPr>
                <w:b/>
                <w:bCs/>
              </w:rPr>
              <w:t>Period</w:t>
            </w:r>
          </w:p>
        </w:tc>
        <w:tc>
          <w:tcPr>
            <w:tcW w:w="576" w:type="dxa"/>
            <w:tcBorders>
              <w:left w:val="single" w:sz="4" w:space="0" w:color="auto"/>
            </w:tcBorders>
            <w:noWrap/>
            <w:hideMark/>
          </w:tcPr>
          <w:p w14:paraId="7A62CC0F" w14:textId="77777777" w:rsidR="00CB74BD" w:rsidRPr="00CB74BD" w:rsidRDefault="00CB74BD" w:rsidP="00D0747A">
            <w:pPr>
              <w:jc w:val="center"/>
              <w:rPr>
                <w:b/>
                <w:bCs/>
              </w:rPr>
            </w:pPr>
            <w:r w:rsidRPr="00CB74BD">
              <w:rPr>
                <w:b/>
                <w:bCs/>
              </w:rPr>
              <w:t>D</w:t>
            </w:r>
          </w:p>
        </w:tc>
        <w:tc>
          <w:tcPr>
            <w:tcW w:w="576" w:type="dxa"/>
            <w:noWrap/>
            <w:hideMark/>
          </w:tcPr>
          <w:p w14:paraId="3B3B512A" w14:textId="77777777" w:rsidR="00CB74BD" w:rsidRPr="00CB74BD" w:rsidRDefault="00CB74BD" w:rsidP="00D0747A">
            <w:pPr>
              <w:jc w:val="center"/>
              <w:rPr>
                <w:b/>
                <w:bCs/>
              </w:rPr>
            </w:pPr>
            <w:r w:rsidRPr="00CB74BD">
              <w:rPr>
                <w:b/>
                <w:bCs/>
              </w:rPr>
              <w:t>N</w:t>
            </w:r>
          </w:p>
        </w:tc>
        <w:tc>
          <w:tcPr>
            <w:tcW w:w="576" w:type="dxa"/>
            <w:noWrap/>
            <w:hideMark/>
          </w:tcPr>
          <w:p w14:paraId="6DA57985" w14:textId="77777777" w:rsidR="00CB74BD" w:rsidRPr="00CB74BD" w:rsidRDefault="00CB74BD" w:rsidP="00D0747A">
            <w:pPr>
              <w:jc w:val="center"/>
              <w:rPr>
                <w:b/>
                <w:bCs/>
              </w:rPr>
            </w:pPr>
            <w:r w:rsidRPr="00CB74BD">
              <w:rPr>
                <w:b/>
                <w:bCs/>
              </w:rPr>
              <w:t>D</w:t>
            </w:r>
          </w:p>
        </w:tc>
        <w:tc>
          <w:tcPr>
            <w:tcW w:w="576" w:type="dxa"/>
            <w:noWrap/>
            <w:hideMark/>
          </w:tcPr>
          <w:p w14:paraId="0033C52D" w14:textId="77777777" w:rsidR="00CB74BD" w:rsidRPr="00CB74BD" w:rsidRDefault="00CB74BD" w:rsidP="00D0747A">
            <w:pPr>
              <w:jc w:val="center"/>
              <w:rPr>
                <w:b/>
                <w:bCs/>
              </w:rPr>
            </w:pPr>
            <w:r w:rsidRPr="00CB74BD">
              <w:rPr>
                <w:b/>
                <w:bCs/>
              </w:rPr>
              <w:t>N</w:t>
            </w:r>
          </w:p>
        </w:tc>
        <w:tc>
          <w:tcPr>
            <w:tcW w:w="576" w:type="dxa"/>
            <w:noWrap/>
            <w:hideMark/>
          </w:tcPr>
          <w:p w14:paraId="5D200B83" w14:textId="77777777" w:rsidR="00CB74BD" w:rsidRPr="00CB74BD" w:rsidRDefault="00CB74BD" w:rsidP="00D0747A">
            <w:pPr>
              <w:jc w:val="center"/>
              <w:rPr>
                <w:b/>
                <w:bCs/>
              </w:rPr>
            </w:pPr>
            <w:r w:rsidRPr="00CB74BD">
              <w:rPr>
                <w:b/>
                <w:bCs/>
              </w:rPr>
              <w:t>D</w:t>
            </w:r>
          </w:p>
        </w:tc>
        <w:tc>
          <w:tcPr>
            <w:tcW w:w="576" w:type="dxa"/>
            <w:noWrap/>
            <w:hideMark/>
          </w:tcPr>
          <w:p w14:paraId="31669B53" w14:textId="77777777" w:rsidR="00CB74BD" w:rsidRPr="00CB74BD" w:rsidRDefault="00CB74BD" w:rsidP="00D0747A">
            <w:pPr>
              <w:jc w:val="center"/>
              <w:rPr>
                <w:b/>
                <w:bCs/>
              </w:rPr>
            </w:pPr>
            <w:r w:rsidRPr="00CB74BD">
              <w:rPr>
                <w:b/>
                <w:bCs/>
              </w:rPr>
              <w:t>N</w:t>
            </w:r>
          </w:p>
        </w:tc>
        <w:tc>
          <w:tcPr>
            <w:tcW w:w="576" w:type="dxa"/>
            <w:noWrap/>
            <w:hideMark/>
          </w:tcPr>
          <w:p w14:paraId="4861953F" w14:textId="77777777" w:rsidR="00CB74BD" w:rsidRPr="00CB74BD" w:rsidRDefault="00CB74BD" w:rsidP="00D0747A">
            <w:pPr>
              <w:jc w:val="center"/>
              <w:rPr>
                <w:b/>
                <w:bCs/>
              </w:rPr>
            </w:pPr>
            <w:r w:rsidRPr="00CB74BD">
              <w:rPr>
                <w:b/>
                <w:bCs/>
              </w:rPr>
              <w:t>D</w:t>
            </w:r>
          </w:p>
        </w:tc>
        <w:tc>
          <w:tcPr>
            <w:tcW w:w="576" w:type="dxa"/>
            <w:noWrap/>
            <w:hideMark/>
          </w:tcPr>
          <w:p w14:paraId="62A76069" w14:textId="77777777" w:rsidR="00CB74BD" w:rsidRPr="00CB74BD" w:rsidRDefault="00CB74BD" w:rsidP="00D0747A">
            <w:pPr>
              <w:jc w:val="center"/>
              <w:rPr>
                <w:b/>
                <w:bCs/>
              </w:rPr>
            </w:pPr>
            <w:r w:rsidRPr="00CB74BD">
              <w:rPr>
                <w:b/>
                <w:bCs/>
              </w:rPr>
              <w:t>N</w:t>
            </w:r>
          </w:p>
        </w:tc>
      </w:tr>
      <w:tr w:rsidR="00CB74BD" w:rsidRPr="00CB74BD" w14:paraId="5B585F79" w14:textId="77777777" w:rsidTr="004A3479">
        <w:trPr>
          <w:trHeight w:val="300"/>
          <w:jc w:val="center"/>
        </w:trPr>
        <w:tc>
          <w:tcPr>
            <w:tcW w:w="1007" w:type="dxa"/>
            <w:tcBorders>
              <w:top w:val="single" w:sz="4" w:space="0" w:color="auto"/>
            </w:tcBorders>
            <w:noWrap/>
            <w:hideMark/>
          </w:tcPr>
          <w:p w14:paraId="5C0DFE6C" w14:textId="77777777" w:rsidR="00CB74BD" w:rsidRPr="00CB74BD" w:rsidRDefault="00CB74BD" w:rsidP="00D0747A">
            <w:r w:rsidRPr="00CB74BD">
              <w:t>Jul-20</w:t>
            </w:r>
          </w:p>
        </w:tc>
        <w:tc>
          <w:tcPr>
            <w:tcW w:w="1099" w:type="dxa"/>
            <w:tcBorders>
              <w:top w:val="single" w:sz="4" w:space="0" w:color="auto"/>
            </w:tcBorders>
            <w:noWrap/>
            <w:hideMark/>
          </w:tcPr>
          <w:p w14:paraId="1FE6579E" w14:textId="77777777" w:rsidR="00CB74BD" w:rsidRPr="00CB74BD" w:rsidRDefault="00CB74BD" w:rsidP="00D0747A">
            <w:r w:rsidRPr="00CB74BD">
              <w:t>Q3 2020</w:t>
            </w:r>
          </w:p>
        </w:tc>
        <w:tc>
          <w:tcPr>
            <w:tcW w:w="3104" w:type="dxa"/>
            <w:tcBorders>
              <w:top w:val="single" w:sz="4" w:space="0" w:color="auto"/>
            </w:tcBorders>
            <w:noWrap/>
            <w:hideMark/>
          </w:tcPr>
          <w:p w14:paraId="62BC0ED4" w14:textId="77777777" w:rsidR="00CB74BD" w:rsidRPr="00CB74BD" w:rsidRDefault="00CB74BD" w:rsidP="00D0747A">
            <w:r w:rsidRPr="00CB74BD">
              <w:t>Pilot Baseline</w:t>
            </w:r>
          </w:p>
        </w:tc>
        <w:tc>
          <w:tcPr>
            <w:tcW w:w="576" w:type="dxa"/>
            <w:noWrap/>
            <w:hideMark/>
          </w:tcPr>
          <w:p w14:paraId="6391D153" w14:textId="77777777" w:rsidR="00CB74BD" w:rsidRPr="00CB74BD" w:rsidRDefault="00CB74BD" w:rsidP="00D0747A">
            <w:r w:rsidRPr="00CB74BD">
              <w:t> </w:t>
            </w:r>
          </w:p>
        </w:tc>
        <w:tc>
          <w:tcPr>
            <w:tcW w:w="576" w:type="dxa"/>
            <w:noWrap/>
            <w:hideMark/>
          </w:tcPr>
          <w:p w14:paraId="6C185616" w14:textId="77777777" w:rsidR="00CB74BD" w:rsidRPr="00CB74BD" w:rsidRDefault="00CB74BD" w:rsidP="00D0747A">
            <w:r w:rsidRPr="00CB74BD">
              <w:t> </w:t>
            </w:r>
          </w:p>
        </w:tc>
        <w:tc>
          <w:tcPr>
            <w:tcW w:w="576" w:type="dxa"/>
            <w:noWrap/>
            <w:hideMark/>
          </w:tcPr>
          <w:p w14:paraId="7CAB6A46" w14:textId="77777777" w:rsidR="00CB74BD" w:rsidRPr="00CB74BD" w:rsidRDefault="00CB74BD" w:rsidP="00D0747A">
            <w:r w:rsidRPr="00CB74BD">
              <w:t> </w:t>
            </w:r>
          </w:p>
        </w:tc>
        <w:tc>
          <w:tcPr>
            <w:tcW w:w="576" w:type="dxa"/>
            <w:noWrap/>
            <w:hideMark/>
          </w:tcPr>
          <w:p w14:paraId="5718E901" w14:textId="77777777" w:rsidR="00CB74BD" w:rsidRPr="00CB74BD" w:rsidRDefault="00CB74BD" w:rsidP="00D0747A">
            <w:r w:rsidRPr="00CB74BD">
              <w:t> </w:t>
            </w:r>
          </w:p>
        </w:tc>
        <w:tc>
          <w:tcPr>
            <w:tcW w:w="576" w:type="dxa"/>
            <w:noWrap/>
            <w:hideMark/>
          </w:tcPr>
          <w:p w14:paraId="71AFA2A7" w14:textId="77777777" w:rsidR="00CB74BD" w:rsidRPr="00CB74BD" w:rsidRDefault="00CB74BD" w:rsidP="00D0747A">
            <w:r w:rsidRPr="00CB74BD">
              <w:t> </w:t>
            </w:r>
          </w:p>
        </w:tc>
        <w:tc>
          <w:tcPr>
            <w:tcW w:w="576" w:type="dxa"/>
            <w:noWrap/>
            <w:hideMark/>
          </w:tcPr>
          <w:p w14:paraId="79FFD1F5" w14:textId="77777777" w:rsidR="00CB74BD" w:rsidRPr="00CB74BD" w:rsidRDefault="00CB74BD" w:rsidP="00D0747A">
            <w:r w:rsidRPr="00CB74BD">
              <w:t> </w:t>
            </w:r>
          </w:p>
        </w:tc>
        <w:tc>
          <w:tcPr>
            <w:tcW w:w="576" w:type="dxa"/>
            <w:noWrap/>
            <w:hideMark/>
          </w:tcPr>
          <w:p w14:paraId="6626966B" w14:textId="77777777" w:rsidR="00CB74BD" w:rsidRPr="00CB74BD" w:rsidRDefault="00CB74BD" w:rsidP="00D0747A">
            <w:r w:rsidRPr="00CB74BD">
              <w:t> </w:t>
            </w:r>
          </w:p>
        </w:tc>
        <w:tc>
          <w:tcPr>
            <w:tcW w:w="576" w:type="dxa"/>
            <w:noWrap/>
            <w:hideMark/>
          </w:tcPr>
          <w:p w14:paraId="71656ECB" w14:textId="77777777" w:rsidR="00CB74BD" w:rsidRPr="00CB74BD" w:rsidRDefault="00CB74BD" w:rsidP="00D0747A">
            <w:r w:rsidRPr="00CB74BD">
              <w:t> </w:t>
            </w:r>
          </w:p>
        </w:tc>
      </w:tr>
      <w:tr w:rsidR="00CB74BD" w:rsidRPr="00CB74BD" w14:paraId="195D0A15" w14:textId="77777777" w:rsidTr="004A3479">
        <w:trPr>
          <w:trHeight w:val="290"/>
          <w:jc w:val="center"/>
        </w:trPr>
        <w:tc>
          <w:tcPr>
            <w:tcW w:w="1007" w:type="dxa"/>
            <w:noWrap/>
            <w:hideMark/>
          </w:tcPr>
          <w:p w14:paraId="68539D5D" w14:textId="77777777" w:rsidR="00CB74BD" w:rsidRPr="00CB74BD" w:rsidRDefault="00CB74BD" w:rsidP="00D0747A">
            <w:r w:rsidRPr="00CB74BD">
              <w:t>Aug-20</w:t>
            </w:r>
          </w:p>
        </w:tc>
        <w:tc>
          <w:tcPr>
            <w:tcW w:w="1099" w:type="dxa"/>
            <w:noWrap/>
            <w:hideMark/>
          </w:tcPr>
          <w:p w14:paraId="6AC8F504" w14:textId="77777777" w:rsidR="00CB74BD" w:rsidRPr="00CB74BD" w:rsidRDefault="00CB74BD" w:rsidP="00D0747A">
            <w:r w:rsidRPr="00CB74BD">
              <w:t>Q3 2020</w:t>
            </w:r>
          </w:p>
        </w:tc>
        <w:tc>
          <w:tcPr>
            <w:tcW w:w="3104" w:type="dxa"/>
            <w:noWrap/>
            <w:hideMark/>
          </w:tcPr>
          <w:p w14:paraId="3A6C7A70" w14:textId="77777777" w:rsidR="00CB74BD" w:rsidRPr="00CB74BD" w:rsidRDefault="00CB74BD" w:rsidP="00D0747A">
            <w:r w:rsidRPr="00CB74BD">
              <w:t>Pilot Baseline</w:t>
            </w:r>
          </w:p>
        </w:tc>
        <w:tc>
          <w:tcPr>
            <w:tcW w:w="576" w:type="dxa"/>
            <w:noWrap/>
            <w:hideMark/>
          </w:tcPr>
          <w:p w14:paraId="6EA1E863" w14:textId="77777777" w:rsidR="00CB74BD" w:rsidRPr="00CB74BD" w:rsidRDefault="00CB74BD" w:rsidP="00D0747A">
            <w:r w:rsidRPr="00CB74BD">
              <w:t> </w:t>
            </w:r>
          </w:p>
        </w:tc>
        <w:tc>
          <w:tcPr>
            <w:tcW w:w="576" w:type="dxa"/>
            <w:noWrap/>
            <w:hideMark/>
          </w:tcPr>
          <w:p w14:paraId="545D05AA" w14:textId="77777777" w:rsidR="00CB74BD" w:rsidRPr="00CB74BD" w:rsidRDefault="00CB74BD" w:rsidP="00D0747A">
            <w:r w:rsidRPr="00CB74BD">
              <w:t> </w:t>
            </w:r>
          </w:p>
        </w:tc>
        <w:tc>
          <w:tcPr>
            <w:tcW w:w="576" w:type="dxa"/>
            <w:noWrap/>
            <w:hideMark/>
          </w:tcPr>
          <w:p w14:paraId="0FAF3396" w14:textId="77777777" w:rsidR="00CB74BD" w:rsidRPr="00CB74BD" w:rsidRDefault="00CB74BD" w:rsidP="00D0747A">
            <w:r w:rsidRPr="00CB74BD">
              <w:t> </w:t>
            </w:r>
          </w:p>
        </w:tc>
        <w:tc>
          <w:tcPr>
            <w:tcW w:w="576" w:type="dxa"/>
            <w:noWrap/>
            <w:hideMark/>
          </w:tcPr>
          <w:p w14:paraId="4F5AB963" w14:textId="77777777" w:rsidR="00CB74BD" w:rsidRPr="00CB74BD" w:rsidRDefault="00CB74BD" w:rsidP="00D0747A">
            <w:r w:rsidRPr="00CB74BD">
              <w:t> </w:t>
            </w:r>
          </w:p>
        </w:tc>
        <w:tc>
          <w:tcPr>
            <w:tcW w:w="576" w:type="dxa"/>
            <w:noWrap/>
            <w:hideMark/>
          </w:tcPr>
          <w:p w14:paraId="6686F822" w14:textId="77777777" w:rsidR="00CB74BD" w:rsidRPr="00CB74BD" w:rsidRDefault="00CB74BD" w:rsidP="00D0747A">
            <w:r w:rsidRPr="00CB74BD">
              <w:t> </w:t>
            </w:r>
          </w:p>
        </w:tc>
        <w:tc>
          <w:tcPr>
            <w:tcW w:w="576" w:type="dxa"/>
            <w:noWrap/>
            <w:hideMark/>
          </w:tcPr>
          <w:p w14:paraId="62EA2324" w14:textId="77777777" w:rsidR="00CB74BD" w:rsidRPr="00CB74BD" w:rsidRDefault="00CB74BD" w:rsidP="00D0747A">
            <w:r w:rsidRPr="00CB74BD">
              <w:t> </w:t>
            </w:r>
          </w:p>
        </w:tc>
        <w:tc>
          <w:tcPr>
            <w:tcW w:w="576" w:type="dxa"/>
            <w:noWrap/>
            <w:hideMark/>
          </w:tcPr>
          <w:p w14:paraId="4B530068" w14:textId="77777777" w:rsidR="00CB74BD" w:rsidRPr="00CB74BD" w:rsidRDefault="00CB74BD" w:rsidP="00D0747A">
            <w:r w:rsidRPr="00CB74BD">
              <w:t> </w:t>
            </w:r>
          </w:p>
        </w:tc>
        <w:tc>
          <w:tcPr>
            <w:tcW w:w="576" w:type="dxa"/>
            <w:noWrap/>
            <w:hideMark/>
          </w:tcPr>
          <w:p w14:paraId="4A4377F0" w14:textId="77777777" w:rsidR="00CB74BD" w:rsidRPr="00CB74BD" w:rsidRDefault="00CB74BD" w:rsidP="00D0747A">
            <w:r w:rsidRPr="00CB74BD">
              <w:t> </w:t>
            </w:r>
          </w:p>
        </w:tc>
      </w:tr>
      <w:tr w:rsidR="00CB74BD" w:rsidRPr="00CB74BD" w14:paraId="6761C189" w14:textId="77777777" w:rsidTr="004A3479">
        <w:trPr>
          <w:trHeight w:val="300"/>
          <w:jc w:val="center"/>
        </w:trPr>
        <w:tc>
          <w:tcPr>
            <w:tcW w:w="1007" w:type="dxa"/>
            <w:noWrap/>
            <w:hideMark/>
          </w:tcPr>
          <w:p w14:paraId="21587D94" w14:textId="77777777" w:rsidR="00CB74BD" w:rsidRPr="00CB74BD" w:rsidRDefault="00CB74BD" w:rsidP="00D0747A">
            <w:r w:rsidRPr="00CB74BD">
              <w:t>Sep-20</w:t>
            </w:r>
          </w:p>
        </w:tc>
        <w:tc>
          <w:tcPr>
            <w:tcW w:w="1099" w:type="dxa"/>
            <w:noWrap/>
            <w:hideMark/>
          </w:tcPr>
          <w:p w14:paraId="5AD66836" w14:textId="77777777" w:rsidR="00CB74BD" w:rsidRPr="00CB74BD" w:rsidRDefault="00CB74BD" w:rsidP="00D0747A">
            <w:r w:rsidRPr="00CB74BD">
              <w:t>Q3 2020</w:t>
            </w:r>
          </w:p>
        </w:tc>
        <w:tc>
          <w:tcPr>
            <w:tcW w:w="3104" w:type="dxa"/>
            <w:noWrap/>
            <w:hideMark/>
          </w:tcPr>
          <w:p w14:paraId="6E68CA76" w14:textId="77777777" w:rsidR="00CB74BD" w:rsidRPr="00CB74BD" w:rsidRDefault="00CB74BD" w:rsidP="00D0747A">
            <w:r w:rsidRPr="00CB74BD">
              <w:t>Pilot Baseline</w:t>
            </w:r>
          </w:p>
        </w:tc>
        <w:tc>
          <w:tcPr>
            <w:tcW w:w="576" w:type="dxa"/>
            <w:noWrap/>
            <w:hideMark/>
          </w:tcPr>
          <w:p w14:paraId="452C11D2" w14:textId="77777777" w:rsidR="00CB74BD" w:rsidRPr="00CB74BD" w:rsidRDefault="00CB74BD" w:rsidP="00D0747A">
            <w:r w:rsidRPr="00CB74BD">
              <w:t> </w:t>
            </w:r>
          </w:p>
        </w:tc>
        <w:tc>
          <w:tcPr>
            <w:tcW w:w="576" w:type="dxa"/>
            <w:noWrap/>
            <w:hideMark/>
          </w:tcPr>
          <w:p w14:paraId="46B46FFE" w14:textId="77777777" w:rsidR="00CB74BD" w:rsidRPr="00CB74BD" w:rsidRDefault="00CB74BD" w:rsidP="00D0747A">
            <w:r w:rsidRPr="00CB74BD">
              <w:t> </w:t>
            </w:r>
          </w:p>
        </w:tc>
        <w:tc>
          <w:tcPr>
            <w:tcW w:w="576" w:type="dxa"/>
            <w:noWrap/>
            <w:hideMark/>
          </w:tcPr>
          <w:p w14:paraId="133940C9" w14:textId="77777777" w:rsidR="00CB74BD" w:rsidRPr="00CB74BD" w:rsidRDefault="00CB74BD" w:rsidP="00D0747A">
            <w:r w:rsidRPr="00CB74BD">
              <w:t> </w:t>
            </w:r>
          </w:p>
        </w:tc>
        <w:tc>
          <w:tcPr>
            <w:tcW w:w="576" w:type="dxa"/>
            <w:noWrap/>
            <w:hideMark/>
          </w:tcPr>
          <w:p w14:paraId="16772CDF" w14:textId="77777777" w:rsidR="00CB74BD" w:rsidRPr="00CB74BD" w:rsidRDefault="00CB74BD" w:rsidP="00D0747A">
            <w:r w:rsidRPr="00CB74BD">
              <w:t> </w:t>
            </w:r>
          </w:p>
        </w:tc>
        <w:tc>
          <w:tcPr>
            <w:tcW w:w="576" w:type="dxa"/>
            <w:noWrap/>
            <w:hideMark/>
          </w:tcPr>
          <w:p w14:paraId="75013648" w14:textId="77777777" w:rsidR="00CB74BD" w:rsidRPr="00CB74BD" w:rsidRDefault="00CB74BD" w:rsidP="00D0747A">
            <w:r w:rsidRPr="00CB74BD">
              <w:t> </w:t>
            </w:r>
          </w:p>
        </w:tc>
        <w:tc>
          <w:tcPr>
            <w:tcW w:w="576" w:type="dxa"/>
            <w:noWrap/>
            <w:hideMark/>
          </w:tcPr>
          <w:p w14:paraId="4A8C6F1A" w14:textId="77777777" w:rsidR="00CB74BD" w:rsidRPr="00CB74BD" w:rsidRDefault="00CB74BD" w:rsidP="00D0747A">
            <w:r w:rsidRPr="00CB74BD">
              <w:t> </w:t>
            </w:r>
          </w:p>
        </w:tc>
        <w:tc>
          <w:tcPr>
            <w:tcW w:w="576" w:type="dxa"/>
            <w:noWrap/>
            <w:hideMark/>
          </w:tcPr>
          <w:p w14:paraId="088F1788" w14:textId="77777777" w:rsidR="00CB74BD" w:rsidRPr="00CB74BD" w:rsidRDefault="00CB74BD" w:rsidP="00D0747A">
            <w:r w:rsidRPr="00CB74BD">
              <w:t> </w:t>
            </w:r>
          </w:p>
        </w:tc>
        <w:tc>
          <w:tcPr>
            <w:tcW w:w="576" w:type="dxa"/>
            <w:noWrap/>
            <w:hideMark/>
          </w:tcPr>
          <w:p w14:paraId="74868323" w14:textId="77777777" w:rsidR="00CB74BD" w:rsidRPr="00CB74BD" w:rsidRDefault="00CB74BD" w:rsidP="00D0747A">
            <w:r w:rsidRPr="00CB74BD">
              <w:t> </w:t>
            </w:r>
          </w:p>
        </w:tc>
      </w:tr>
      <w:tr w:rsidR="00CB74BD" w:rsidRPr="00CB74BD" w14:paraId="0FD63616" w14:textId="77777777" w:rsidTr="004A3479">
        <w:trPr>
          <w:trHeight w:val="300"/>
          <w:jc w:val="center"/>
        </w:trPr>
        <w:tc>
          <w:tcPr>
            <w:tcW w:w="1007" w:type="dxa"/>
            <w:noWrap/>
            <w:hideMark/>
          </w:tcPr>
          <w:p w14:paraId="2C4A8D4C" w14:textId="77777777" w:rsidR="00CB74BD" w:rsidRPr="00CB74BD" w:rsidRDefault="00CB74BD" w:rsidP="00D0747A">
            <w:r w:rsidRPr="00CB74BD">
              <w:t>Oct-20</w:t>
            </w:r>
          </w:p>
        </w:tc>
        <w:tc>
          <w:tcPr>
            <w:tcW w:w="1099" w:type="dxa"/>
            <w:noWrap/>
            <w:hideMark/>
          </w:tcPr>
          <w:p w14:paraId="431B5EFF" w14:textId="77777777" w:rsidR="00CB74BD" w:rsidRPr="00CB74BD" w:rsidRDefault="00CB74BD" w:rsidP="00D0747A">
            <w:r w:rsidRPr="00CB74BD">
              <w:t>Q4 2020</w:t>
            </w:r>
          </w:p>
        </w:tc>
        <w:tc>
          <w:tcPr>
            <w:tcW w:w="3104" w:type="dxa"/>
            <w:noWrap/>
            <w:hideMark/>
          </w:tcPr>
          <w:p w14:paraId="0C1833EF" w14:textId="77777777" w:rsidR="00CB74BD" w:rsidRPr="00CB74BD" w:rsidRDefault="00CB74BD" w:rsidP="00D0747A">
            <w:r w:rsidRPr="00CB74BD">
              <w:t>Pilot Active</w:t>
            </w:r>
          </w:p>
        </w:tc>
        <w:tc>
          <w:tcPr>
            <w:tcW w:w="576" w:type="dxa"/>
            <w:noWrap/>
            <w:hideMark/>
          </w:tcPr>
          <w:p w14:paraId="178CFC64" w14:textId="77777777" w:rsidR="00CB74BD" w:rsidRPr="00CB74BD" w:rsidRDefault="00CB74BD" w:rsidP="00D0747A">
            <w:r w:rsidRPr="00CB74BD">
              <w:t> </w:t>
            </w:r>
          </w:p>
        </w:tc>
        <w:tc>
          <w:tcPr>
            <w:tcW w:w="576" w:type="dxa"/>
            <w:noWrap/>
            <w:hideMark/>
          </w:tcPr>
          <w:p w14:paraId="16BB5462" w14:textId="77777777" w:rsidR="00CB74BD" w:rsidRPr="00CB74BD" w:rsidRDefault="00CB74BD" w:rsidP="00D0747A">
            <w:r w:rsidRPr="00CB74BD">
              <w:t> </w:t>
            </w:r>
          </w:p>
        </w:tc>
        <w:tc>
          <w:tcPr>
            <w:tcW w:w="576" w:type="dxa"/>
            <w:noWrap/>
            <w:hideMark/>
          </w:tcPr>
          <w:p w14:paraId="2BA0F517" w14:textId="77777777" w:rsidR="00CB74BD" w:rsidRPr="00CB74BD" w:rsidRDefault="00CB74BD" w:rsidP="00D0747A">
            <w:r w:rsidRPr="00CB74BD">
              <w:t> </w:t>
            </w:r>
          </w:p>
        </w:tc>
        <w:tc>
          <w:tcPr>
            <w:tcW w:w="576" w:type="dxa"/>
            <w:noWrap/>
            <w:hideMark/>
          </w:tcPr>
          <w:p w14:paraId="58E743C1" w14:textId="77777777" w:rsidR="00CB74BD" w:rsidRPr="00CB74BD" w:rsidRDefault="00CB74BD" w:rsidP="00D0747A">
            <w:r w:rsidRPr="00CB74BD">
              <w:t> </w:t>
            </w:r>
          </w:p>
        </w:tc>
        <w:tc>
          <w:tcPr>
            <w:tcW w:w="576" w:type="dxa"/>
            <w:noWrap/>
            <w:hideMark/>
          </w:tcPr>
          <w:p w14:paraId="3B1F1922" w14:textId="77777777" w:rsidR="00CB74BD" w:rsidRPr="00CB74BD" w:rsidRDefault="00CB74BD" w:rsidP="00D0747A">
            <w:r w:rsidRPr="00CB74BD">
              <w:t> </w:t>
            </w:r>
          </w:p>
        </w:tc>
        <w:tc>
          <w:tcPr>
            <w:tcW w:w="576" w:type="dxa"/>
            <w:noWrap/>
            <w:hideMark/>
          </w:tcPr>
          <w:p w14:paraId="3313F4E9" w14:textId="77777777" w:rsidR="00CB74BD" w:rsidRPr="00CB74BD" w:rsidRDefault="00CB74BD" w:rsidP="00D0747A">
            <w:r w:rsidRPr="00CB74BD">
              <w:t> </w:t>
            </w:r>
          </w:p>
        </w:tc>
        <w:tc>
          <w:tcPr>
            <w:tcW w:w="576" w:type="dxa"/>
            <w:noWrap/>
            <w:hideMark/>
          </w:tcPr>
          <w:p w14:paraId="1FA75408" w14:textId="77777777" w:rsidR="00CB74BD" w:rsidRPr="00CB74BD" w:rsidRDefault="00CB74BD" w:rsidP="00D0747A">
            <w:r w:rsidRPr="00CB74BD">
              <w:t> </w:t>
            </w:r>
          </w:p>
        </w:tc>
        <w:tc>
          <w:tcPr>
            <w:tcW w:w="576" w:type="dxa"/>
            <w:noWrap/>
            <w:hideMark/>
          </w:tcPr>
          <w:p w14:paraId="714F7206" w14:textId="77777777" w:rsidR="00CB74BD" w:rsidRPr="00CB74BD" w:rsidRDefault="00CB74BD" w:rsidP="00D0747A">
            <w:r w:rsidRPr="00CB74BD">
              <w:t> </w:t>
            </w:r>
          </w:p>
        </w:tc>
      </w:tr>
      <w:tr w:rsidR="00CB74BD" w:rsidRPr="00CB74BD" w14:paraId="166CEA25" w14:textId="77777777" w:rsidTr="004A3479">
        <w:trPr>
          <w:trHeight w:val="290"/>
          <w:jc w:val="center"/>
        </w:trPr>
        <w:tc>
          <w:tcPr>
            <w:tcW w:w="1007" w:type="dxa"/>
            <w:noWrap/>
            <w:hideMark/>
          </w:tcPr>
          <w:p w14:paraId="27E59EAB" w14:textId="77777777" w:rsidR="00CB74BD" w:rsidRPr="00CB74BD" w:rsidRDefault="00CB74BD" w:rsidP="00D0747A">
            <w:r w:rsidRPr="00CB74BD">
              <w:t>Nov-20</w:t>
            </w:r>
          </w:p>
        </w:tc>
        <w:tc>
          <w:tcPr>
            <w:tcW w:w="1099" w:type="dxa"/>
            <w:noWrap/>
            <w:hideMark/>
          </w:tcPr>
          <w:p w14:paraId="2F04D433" w14:textId="77777777" w:rsidR="00CB74BD" w:rsidRPr="00CB74BD" w:rsidRDefault="00CB74BD" w:rsidP="00D0747A">
            <w:r w:rsidRPr="00CB74BD">
              <w:t>Q4 2020</w:t>
            </w:r>
          </w:p>
        </w:tc>
        <w:tc>
          <w:tcPr>
            <w:tcW w:w="3104" w:type="dxa"/>
            <w:noWrap/>
            <w:hideMark/>
          </w:tcPr>
          <w:p w14:paraId="674D6657" w14:textId="77777777" w:rsidR="00CB74BD" w:rsidRPr="00CB74BD" w:rsidRDefault="00CB74BD" w:rsidP="00D0747A">
            <w:r w:rsidRPr="00CB74BD">
              <w:t>Pilot Active</w:t>
            </w:r>
          </w:p>
        </w:tc>
        <w:tc>
          <w:tcPr>
            <w:tcW w:w="576" w:type="dxa"/>
            <w:noWrap/>
            <w:hideMark/>
          </w:tcPr>
          <w:p w14:paraId="1F5C1231" w14:textId="77777777" w:rsidR="00CB74BD" w:rsidRPr="00CB74BD" w:rsidRDefault="00CB74BD" w:rsidP="00D0747A">
            <w:r w:rsidRPr="00CB74BD">
              <w:t> </w:t>
            </w:r>
          </w:p>
        </w:tc>
        <w:tc>
          <w:tcPr>
            <w:tcW w:w="576" w:type="dxa"/>
            <w:noWrap/>
            <w:hideMark/>
          </w:tcPr>
          <w:p w14:paraId="2A329B92" w14:textId="77777777" w:rsidR="00CB74BD" w:rsidRPr="00CB74BD" w:rsidRDefault="00CB74BD" w:rsidP="00D0747A">
            <w:r w:rsidRPr="00CB74BD">
              <w:t> </w:t>
            </w:r>
          </w:p>
        </w:tc>
        <w:tc>
          <w:tcPr>
            <w:tcW w:w="576" w:type="dxa"/>
            <w:noWrap/>
            <w:hideMark/>
          </w:tcPr>
          <w:p w14:paraId="72870B99" w14:textId="77777777" w:rsidR="00CB74BD" w:rsidRPr="00CB74BD" w:rsidRDefault="00CB74BD" w:rsidP="00D0747A">
            <w:r w:rsidRPr="00CB74BD">
              <w:t> </w:t>
            </w:r>
          </w:p>
        </w:tc>
        <w:tc>
          <w:tcPr>
            <w:tcW w:w="576" w:type="dxa"/>
            <w:noWrap/>
            <w:hideMark/>
          </w:tcPr>
          <w:p w14:paraId="41D4EB70" w14:textId="77777777" w:rsidR="00CB74BD" w:rsidRPr="00CB74BD" w:rsidRDefault="00CB74BD" w:rsidP="00D0747A">
            <w:r w:rsidRPr="00CB74BD">
              <w:t> </w:t>
            </w:r>
          </w:p>
        </w:tc>
        <w:tc>
          <w:tcPr>
            <w:tcW w:w="576" w:type="dxa"/>
            <w:noWrap/>
            <w:hideMark/>
          </w:tcPr>
          <w:p w14:paraId="2058EF19" w14:textId="77777777" w:rsidR="00CB74BD" w:rsidRPr="00CB74BD" w:rsidRDefault="00CB74BD" w:rsidP="00D0747A">
            <w:r w:rsidRPr="00CB74BD">
              <w:t> </w:t>
            </w:r>
          </w:p>
        </w:tc>
        <w:tc>
          <w:tcPr>
            <w:tcW w:w="576" w:type="dxa"/>
            <w:noWrap/>
            <w:hideMark/>
          </w:tcPr>
          <w:p w14:paraId="0ED94988" w14:textId="77777777" w:rsidR="00CB74BD" w:rsidRPr="00CB74BD" w:rsidRDefault="00CB74BD" w:rsidP="00D0747A">
            <w:r w:rsidRPr="00CB74BD">
              <w:t> </w:t>
            </w:r>
          </w:p>
        </w:tc>
        <w:tc>
          <w:tcPr>
            <w:tcW w:w="576" w:type="dxa"/>
            <w:noWrap/>
            <w:hideMark/>
          </w:tcPr>
          <w:p w14:paraId="40E6A9C4" w14:textId="77777777" w:rsidR="00CB74BD" w:rsidRPr="00CB74BD" w:rsidRDefault="00CB74BD" w:rsidP="00D0747A">
            <w:r w:rsidRPr="00CB74BD">
              <w:t> </w:t>
            </w:r>
          </w:p>
        </w:tc>
        <w:tc>
          <w:tcPr>
            <w:tcW w:w="576" w:type="dxa"/>
            <w:noWrap/>
            <w:hideMark/>
          </w:tcPr>
          <w:p w14:paraId="6C0BA95B" w14:textId="77777777" w:rsidR="00CB74BD" w:rsidRPr="00CB74BD" w:rsidRDefault="00CB74BD" w:rsidP="00D0747A">
            <w:r w:rsidRPr="00CB74BD">
              <w:t> </w:t>
            </w:r>
          </w:p>
        </w:tc>
      </w:tr>
      <w:tr w:rsidR="00CB74BD" w:rsidRPr="00CB74BD" w14:paraId="1946FAF5" w14:textId="77777777" w:rsidTr="004A3479">
        <w:trPr>
          <w:trHeight w:val="300"/>
          <w:jc w:val="center"/>
        </w:trPr>
        <w:tc>
          <w:tcPr>
            <w:tcW w:w="1007" w:type="dxa"/>
            <w:noWrap/>
            <w:hideMark/>
          </w:tcPr>
          <w:p w14:paraId="6B5F3813" w14:textId="77777777" w:rsidR="00CB74BD" w:rsidRPr="00CB74BD" w:rsidRDefault="00CB74BD" w:rsidP="00D0747A">
            <w:r w:rsidRPr="00CB74BD">
              <w:t>Dec-20</w:t>
            </w:r>
          </w:p>
        </w:tc>
        <w:tc>
          <w:tcPr>
            <w:tcW w:w="1099" w:type="dxa"/>
            <w:noWrap/>
            <w:hideMark/>
          </w:tcPr>
          <w:p w14:paraId="3EF7184E" w14:textId="77777777" w:rsidR="00CB74BD" w:rsidRPr="00CB74BD" w:rsidRDefault="00CB74BD" w:rsidP="00D0747A">
            <w:r w:rsidRPr="00CB74BD">
              <w:t>Q4 2020</w:t>
            </w:r>
          </w:p>
        </w:tc>
        <w:tc>
          <w:tcPr>
            <w:tcW w:w="3104" w:type="dxa"/>
            <w:noWrap/>
            <w:hideMark/>
          </w:tcPr>
          <w:p w14:paraId="286C354A" w14:textId="77777777" w:rsidR="00CB74BD" w:rsidRPr="00CB74BD" w:rsidRDefault="00CB74BD" w:rsidP="00D0747A">
            <w:r w:rsidRPr="00CB74BD">
              <w:t>Pilot Active</w:t>
            </w:r>
          </w:p>
        </w:tc>
        <w:tc>
          <w:tcPr>
            <w:tcW w:w="576" w:type="dxa"/>
            <w:noWrap/>
            <w:hideMark/>
          </w:tcPr>
          <w:p w14:paraId="5A452043" w14:textId="77777777" w:rsidR="00CB74BD" w:rsidRPr="00CB74BD" w:rsidRDefault="00CB74BD" w:rsidP="00D0747A">
            <w:r w:rsidRPr="00CB74BD">
              <w:t> </w:t>
            </w:r>
          </w:p>
        </w:tc>
        <w:tc>
          <w:tcPr>
            <w:tcW w:w="576" w:type="dxa"/>
            <w:noWrap/>
            <w:hideMark/>
          </w:tcPr>
          <w:p w14:paraId="28F39603" w14:textId="77777777" w:rsidR="00CB74BD" w:rsidRPr="00CB74BD" w:rsidRDefault="00CB74BD" w:rsidP="00D0747A">
            <w:r w:rsidRPr="00CB74BD">
              <w:t> </w:t>
            </w:r>
          </w:p>
        </w:tc>
        <w:tc>
          <w:tcPr>
            <w:tcW w:w="576" w:type="dxa"/>
            <w:noWrap/>
            <w:hideMark/>
          </w:tcPr>
          <w:p w14:paraId="23CECB9B" w14:textId="77777777" w:rsidR="00CB74BD" w:rsidRPr="00CB74BD" w:rsidRDefault="00CB74BD" w:rsidP="00D0747A">
            <w:r w:rsidRPr="00CB74BD">
              <w:t> </w:t>
            </w:r>
          </w:p>
        </w:tc>
        <w:tc>
          <w:tcPr>
            <w:tcW w:w="576" w:type="dxa"/>
            <w:noWrap/>
            <w:hideMark/>
          </w:tcPr>
          <w:p w14:paraId="4F65BCF8" w14:textId="77777777" w:rsidR="00CB74BD" w:rsidRPr="00CB74BD" w:rsidRDefault="00CB74BD" w:rsidP="00D0747A">
            <w:r w:rsidRPr="00CB74BD">
              <w:t> </w:t>
            </w:r>
          </w:p>
        </w:tc>
        <w:tc>
          <w:tcPr>
            <w:tcW w:w="576" w:type="dxa"/>
            <w:noWrap/>
            <w:hideMark/>
          </w:tcPr>
          <w:p w14:paraId="0D0F50C3" w14:textId="77777777" w:rsidR="00CB74BD" w:rsidRPr="00CB74BD" w:rsidRDefault="00CB74BD" w:rsidP="00D0747A">
            <w:r w:rsidRPr="00CB74BD">
              <w:t> </w:t>
            </w:r>
          </w:p>
        </w:tc>
        <w:tc>
          <w:tcPr>
            <w:tcW w:w="576" w:type="dxa"/>
            <w:noWrap/>
            <w:hideMark/>
          </w:tcPr>
          <w:p w14:paraId="1F99F413" w14:textId="77777777" w:rsidR="00CB74BD" w:rsidRPr="00CB74BD" w:rsidRDefault="00CB74BD" w:rsidP="00D0747A">
            <w:r w:rsidRPr="00CB74BD">
              <w:t> </w:t>
            </w:r>
          </w:p>
        </w:tc>
        <w:tc>
          <w:tcPr>
            <w:tcW w:w="576" w:type="dxa"/>
            <w:noWrap/>
            <w:hideMark/>
          </w:tcPr>
          <w:p w14:paraId="70354F52" w14:textId="77777777" w:rsidR="00CB74BD" w:rsidRPr="00CB74BD" w:rsidRDefault="00CB74BD" w:rsidP="00D0747A">
            <w:r w:rsidRPr="00CB74BD">
              <w:t> </w:t>
            </w:r>
          </w:p>
        </w:tc>
        <w:tc>
          <w:tcPr>
            <w:tcW w:w="576" w:type="dxa"/>
            <w:noWrap/>
            <w:hideMark/>
          </w:tcPr>
          <w:p w14:paraId="4830F580" w14:textId="77777777" w:rsidR="00CB74BD" w:rsidRPr="00CB74BD" w:rsidRDefault="00CB74BD" w:rsidP="00D0747A">
            <w:r w:rsidRPr="00CB74BD">
              <w:t> </w:t>
            </w:r>
          </w:p>
        </w:tc>
      </w:tr>
      <w:tr w:rsidR="00CB74BD" w:rsidRPr="00CB74BD" w14:paraId="00FA76DB" w14:textId="77777777" w:rsidTr="004A3479">
        <w:trPr>
          <w:trHeight w:val="300"/>
          <w:jc w:val="center"/>
        </w:trPr>
        <w:tc>
          <w:tcPr>
            <w:tcW w:w="1007" w:type="dxa"/>
            <w:noWrap/>
            <w:hideMark/>
          </w:tcPr>
          <w:p w14:paraId="5316391B" w14:textId="77777777" w:rsidR="00CB74BD" w:rsidRPr="00CB74BD" w:rsidRDefault="00CB74BD" w:rsidP="00D0747A">
            <w:r w:rsidRPr="00CB74BD">
              <w:t>Jan-21</w:t>
            </w:r>
          </w:p>
        </w:tc>
        <w:tc>
          <w:tcPr>
            <w:tcW w:w="1099" w:type="dxa"/>
            <w:noWrap/>
            <w:hideMark/>
          </w:tcPr>
          <w:p w14:paraId="1699B22E" w14:textId="77777777" w:rsidR="00CB74BD" w:rsidRPr="00CB74BD" w:rsidRDefault="00CB74BD" w:rsidP="00D0747A">
            <w:r w:rsidRPr="00CB74BD">
              <w:t>Q1 2021</w:t>
            </w:r>
          </w:p>
        </w:tc>
        <w:tc>
          <w:tcPr>
            <w:tcW w:w="3104" w:type="dxa"/>
            <w:noWrap/>
            <w:hideMark/>
          </w:tcPr>
          <w:p w14:paraId="21553B5F" w14:textId="77777777" w:rsidR="00CB74BD" w:rsidRPr="00CB74BD" w:rsidRDefault="00CB74BD" w:rsidP="00D0747A">
            <w:r w:rsidRPr="00CB74BD">
              <w:t>Pilot Active / Statewide Baseline</w:t>
            </w:r>
          </w:p>
        </w:tc>
        <w:tc>
          <w:tcPr>
            <w:tcW w:w="576" w:type="dxa"/>
            <w:noWrap/>
            <w:hideMark/>
          </w:tcPr>
          <w:p w14:paraId="5DD368E0" w14:textId="77777777" w:rsidR="00CB74BD" w:rsidRPr="00CB74BD" w:rsidRDefault="00CB74BD" w:rsidP="00D0747A">
            <w:r w:rsidRPr="00CB74BD">
              <w:t> </w:t>
            </w:r>
          </w:p>
        </w:tc>
        <w:tc>
          <w:tcPr>
            <w:tcW w:w="576" w:type="dxa"/>
            <w:noWrap/>
            <w:hideMark/>
          </w:tcPr>
          <w:p w14:paraId="126B5084" w14:textId="77777777" w:rsidR="00CB74BD" w:rsidRPr="00CB74BD" w:rsidRDefault="00CB74BD" w:rsidP="00D0747A">
            <w:r w:rsidRPr="00CB74BD">
              <w:t> </w:t>
            </w:r>
          </w:p>
        </w:tc>
        <w:tc>
          <w:tcPr>
            <w:tcW w:w="576" w:type="dxa"/>
            <w:noWrap/>
            <w:hideMark/>
          </w:tcPr>
          <w:p w14:paraId="39FC8416" w14:textId="77777777" w:rsidR="00CB74BD" w:rsidRPr="00CB74BD" w:rsidRDefault="00CB74BD" w:rsidP="00D0747A">
            <w:r w:rsidRPr="00CB74BD">
              <w:t> </w:t>
            </w:r>
          </w:p>
        </w:tc>
        <w:tc>
          <w:tcPr>
            <w:tcW w:w="576" w:type="dxa"/>
            <w:noWrap/>
            <w:hideMark/>
          </w:tcPr>
          <w:p w14:paraId="2764194F" w14:textId="77777777" w:rsidR="00CB74BD" w:rsidRPr="00CB74BD" w:rsidRDefault="00CB74BD" w:rsidP="00D0747A">
            <w:r w:rsidRPr="00CB74BD">
              <w:t> </w:t>
            </w:r>
          </w:p>
        </w:tc>
        <w:tc>
          <w:tcPr>
            <w:tcW w:w="576" w:type="dxa"/>
            <w:noWrap/>
            <w:hideMark/>
          </w:tcPr>
          <w:p w14:paraId="462BB2F5" w14:textId="77777777" w:rsidR="00CB74BD" w:rsidRPr="00CB74BD" w:rsidRDefault="00CB74BD" w:rsidP="00D0747A">
            <w:r w:rsidRPr="00CB74BD">
              <w:t> </w:t>
            </w:r>
          </w:p>
        </w:tc>
        <w:tc>
          <w:tcPr>
            <w:tcW w:w="576" w:type="dxa"/>
            <w:noWrap/>
            <w:hideMark/>
          </w:tcPr>
          <w:p w14:paraId="157D30E1" w14:textId="77777777" w:rsidR="00CB74BD" w:rsidRPr="00CB74BD" w:rsidRDefault="00CB74BD" w:rsidP="00D0747A">
            <w:r w:rsidRPr="00CB74BD">
              <w:t> </w:t>
            </w:r>
          </w:p>
        </w:tc>
        <w:tc>
          <w:tcPr>
            <w:tcW w:w="576" w:type="dxa"/>
            <w:noWrap/>
            <w:hideMark/>
          </w:tcPr>
          <w:p w14:paraId="7EC8F356" w14:textId="77777777" w:rsidR="00CB74BD" w:rsidRPr="00CB74BD" w:rsidRDefault="00CB74BD" w:rsidP="00D0747A">
            <w:r w:rsidRPr="00CB74BD">
              <w:t> </w:t>
            </w:r>
          </w:p>
        </w:tc>
        <w:tc>
          <w:tcPr>
            <w:tcW w:w="576" w:type="dxa"/>
            <w:noWrap/>
            <w:hideMark/>
          </w:tcPr>
          <w:p w14:paraId="7E2C3502" w14:textId="77777777" w:rsidR="00CB74BD" w:rsidRPr="00CB74BD" w:rsidRDefault="00CB74BD" w:rsidP="00D0747A">
            <w:r w:rsidRPr="00CB74BD">
              <w:t> </w:t>
            </w:r>
          </w:p>
        </w:tc>
      </w:tr>
      <w:tr w:rsidR="00CB74BD" w:rsidRPr="00CB74BD" w14:paraId="04B34919" w14:textId="77777777" w:rsidTr="004A3479">
        <w:trPr>
          <w:trHeight w:val="290"/>
          <w:jc w:val="center"/>
        </w:trPr>
        <w:tc>
          <w:tcPr>
            <w:tcW w:w="1007" w:type="dxa"/>
            <w:noWrap/>
            <w:hideMark/>
          </w:tcPr>
          <w:p w14:paraId="23AE5D0B" w14:textId="77777777" w:rsidR="00CB74BD" w:rsidRPr="00CB74BD" w:rsidRDefault="00CB74BD" w:rsidP="00D0747A">
            <w:r w:rsidRPr="00CB74BD">
              <w:t>Feb-21</w:t>
            </w:r>
          </w:p>
        </w:tc>
        <w:tc>
          <w:tcPr>
            <w:tcW w:w="1099" w:type="dxa"/>
            <w:noWrap/>
            <w:hideMark/>
          </w:tcPr>
          <w:p w14:paraId="73342C49" w14:textId="77777777" w:rsidR="00CB74BD" w:rsidRPr="00CB74BD" w:rsidRDefault="00CB74BD" w:rsidP="00D0747A">
            <w:r w:rsidRPr="00CB74BD">
              <w:t>Q1 2021</w:t>
            </w:r>
          </w:p>
        </w:tc>
        <w:tc>
          <w:tcPr>
            <w:tcW w:w="3104" w:type="dxa"/>
            <w:noWrap/>
            <w:hideMark/>
          </w:tcPr>
          <w:p w14:paraId="3393E831" w14:textId="77777777" w:rsidR="00CB74BD" w:rsidRPr="00CB74BD" w:rsidRDefault="00CB74BD" w:rsidP="00D0747A">
            <w:r w:rsidRPr="00CB74BD">
              <w:t>Pilot Active / Statewide Baseline</w:t>
            </w:r>
          </w:p>
        </w:tc>
        <w:tc>
          <w:tcPr>
            <w:tcW w:w="576" w:type="dxa"/>
            <w:noWrap/>
            <w:hideMark/>
          </w:tcPr>
          <w:p w14:paraId="4C3F5ED1" w14:textId="77777777" w:rsidR="00CB74BD" w:rsidRPr="00CB74BD" w:rsidRDefault="00CB74BD" w:rsidP="00D0747A">
            <w:r w:rsidRPr="00CB74BD">
              <w:t> </w:t>
            </w:r>
          </w:p>
        </w:tc>
        <w:tc>
          <w:tcPr>
            <w:tcW w:w="576" w:type="dxa"/>
            <w:noWrap/>
            <w:hideMark/>
          </w:tcPr>
          <w:p w14:paraId="3625488D" w14:textId="77777777" w:rsidR="00CB74BD" w:rsidRPr="00CB74BD" w:rsidRDefault="00CB74BD" w:rsidP="00D0747A">
            <w:r w:rsidRPr="00CB74BD">
              <w:t> </w:t>
            </w:r>
          </w:p>
        </w:tc>
        <w:tc>
          <w:tcPr>
            <w:tcW w:w="576" w:type="dxa"/>
            <w:noWrap/>
            <w:hideMark/>
          </w:tcPr>
          <w:p w14:paraId="4F5D0DC8" w14:textId="77777777" w:rsidR="00CB74BD" w:rsidRPr="00CB74BD" w:rsidRDefault="00CB74BD" w:rsidP="00D0747A">
            <w:r w:rsidRPr="00CB74BD">
              <w:t> </w:t>
            </w:r>
          </w:p>
        </w:tc>
        <w:tc>
          <w:tcPr>
            <w:tcW w:w="576" w:type="dxa"/>
            <w:noWrap/>
            <w:hideMark/>
          </w:tcPr>
          <w:p w14:paraId="3FE69337" w14:textId="77777777" w:rsidR="00CB74BD" w:rsidRPr="00CB74BD" w:rsidRDefault="00CB74BD" w:rsidP="00D0747A">
            <w:r w:rsidRPr="00CB74BD">
              <w:t> </w:t>
            </w:r>
          </w:p>
        </w:tc>
        <w:tc>
          <w:tcPr>
            <w:tcW w:w="576" w:type="dxa"/>
            <w:noWrap/>
            <w:hideMark/>
          </w:tcPr>
          <w:p w14:paraId="0BAA6B7E" w14:textId="77777777" w:rsidR="00CB74BD" w:rsidRPr="00CB74BD" w:rsidRDefault="00CB74BD" w:rsidP="00D0747A">
            <w:r w:rsidRPr="00CB74BD">
              <w:t> </w:t>
            </w:r>
          </w:p>
        </w:tc>
        <w:tc>
          <w:tcPr>
            <w:tcW w:w="576" w:type="dxa"/>
            <w:noWrap/>
            <w:hideMark/>
          </w:tcPr>
          <w:p w14:paraId="23EA7154" w14:textId="77777777" w:rsidR="00CB74BD" w:rsidRPr="00CB74BD" w:rsidRDefault="00CB74BD" w:rsidP="00D0747A">
            <w:r w:rsidRPr="00CB74BD">
              <w:t> </w:t>
            </w:r>
          </w:p>
        </w:tc>
        <w:tc>
          <w:tcPr>
            <w:tcW w:w="576" w:type="dxa"/>
            <w:noWrap/>
            <w:hideMark/>
          </w:tcPr>
          <w:p w14:paraId="740A71F6" w14:textId="77777777" w:rsidR="00CB74BD" w:rsidRPr="00CB74BD" w:rsidRDefault="00CB74BD" w:rsidP="00D0747A">
            <w:r w:rsidRPr="00CB74BD">
              <w:t> </w:t>
            </w:r>
          </w:p>
        </w:tc>
        <w:tc>
          <w:tcPr>
            <w:tcW w:w="576" w:type="dxa"/>
            <w:noWrap/>
            <w:hideMark/>
          </w:tcPr>
          <w:p w14:paraId="4FC2F163" w14:textId="77777777" w:rsidR="00CB74BD" w:rsidRPr="00CB74BD" w:rsidRDefault="00CB74BD" w:rsidP="00D0747A">
            <w:r w:rsidRPr="00CB74BD">
              <w:t> </w:t>
            </w:r>
          </w:p>
        </w:tc>
      </w:tr>
      <w:tr w:rsidR="00CB74BD" w:rsidRPr="00CB74BD" w14:paraId="6107A663" w14:textId="77777777" w:rsidTr="004A3479">
        <w:trPr>
          <w:trHeight w:val="300"/>
          <w:jc w:val="center"/>
        </w:trPr>
        <w:tc>
          <w:tcPr>
            <w:tcW w:w="1007" w:type="dxa"/>
            <w:noWrap/>
            <w:hideMark/>
          </w:tcPr>
          <w:p w14:paraId="6D07E74C" w14:textId="77777777" w:rsidR="00CB74BD" w:rsidRPr="00CB74BD" w:rsidRDefault="00CB74BD" w:rsidP="00D0747A">
            <w:r w:rsidRPr="00CB74BD">
              <w:t>Mar-21</w:t>
            </w:r>
          </w:p>
        </w:tc>
        <w:tc>
          <w:tcPr>
            <w:tcW w:w="1099" w:type="dxa"/>
            <w:noWrap/>
            <w:hideMark/>
          </w:tcPr>
          <w:p w14:paraId="634136AF" w14:textId="77777777" w:rsidR="00CB74BD" w:rsidRPr="00CB74BD" w:rsidRDefault="00CB74BD" w:rsidP="00D0747A">
            <w:r w:rsidRPr="00CB74BD">
              <w:t>Q1 2021</w:t>
            </w:r>
          </w:p>
        </w:tc>
        <w:tc>
          <w:tcPr>
            <w:tcW w:w="3104" w:type="dxa"/>
            <w:noWrap/>
            <w:hideMark/>
          </w:tcPr>
          <w:p w14:paraId="57DBBCF3" w14:textId="77777777" w:rsidR="00CB74BD" w:rsidRPr="00CB74BD" w:rsidRDefault="00CB74BD" w:rsidP="00D0747A">
            <w:r w:rsidRPr="00CB74BD">
              <w:t>Pilot Active / Statewide Baseline</w:t>
            </w:r>
          </w:p>
        </w:tc>
        <w:tc>
          <w:tcPr>
            <w:tcW w:w="576" w:type="dxa"/>
            <w:noWrap/>
            <w:hideMark/>
          </w:tcPr>
          <w:p w14:paraId="23ECAD44" w14:textId="77777777" w:rsidR="00CB74BD" w:rsidRPr="00CB74BD" w:rsidRDefault="00CB74BD" w:rsidP="00D0747A">
            <w:r w:rsidRPr="00CB74BD">
              <w:t> </w:t>
            </w:r>
          </w:p>
        </w:tc>
        <w:tc>
          <w:tcPr>
            <w:tcW w:w="576" w:type="dxa"/>
            <w:noWrap/>
            <w:hideMark/>
          </w:tcPr>
          <w:p w14:paraId="49BFCE43" w14:textId="77777777" w:rsidR="00CB74BD" w:rsidRPr="00CB74BD" w:rsidRDefault="00CB74BD" w:rsidP="00D0747A">
            <w:r w:rsidRPr="00CB74BD">
              <w:t> </w:t>
            </w:r>
          </w:p>
        </w:tc>
        <w:tc>
          <w:tcPr>
            <w:tcW w:w="576" w:type="dxa"/>
            <w:noWrap/>
            <w:hideMark/>
          </w:tcPr>
          <w:p w14:paraId="5E58C1E5" w14:textId="77777777" w:rsidR="00CB74BD" w:rsidRPr="00CB74BD" w:rsidRDefault="00CB74BD" w:rsidP="00D0747A">
            <w:r w:rsidRPr="00CB74BD">
              <w:t> </w:t>
            </w:r>
          </w:p>
        </w:tc>
        <w:tc>
          <w:tcPr>
            <w:tcW w:w="576" w:type="dxa"/>
            <w:noWrap/>
            <w:hideMark/>
          </w:tcPr>
          <w:p w14:paraId="0E135B11" w14:textId="77777777" w:rsidR="00CB74BD" w:rsidRPr="00CB74BD" w:rsidRDefault="00CB74BD" w:rsidP="00D0747A">
            <w:r w:rsidRPr="00CB74BD">
              <w:t> </w:t>
            </w:r>
          </w:p>
        </w:tc>
        <w:tc>
          <w:tcPr>
            <w:tcW w:w="576" w:type="dxa"/>
            <w:noWrap/>
            <w:hideMark/>
          </w:tcPr>
          <w:p w14:paraId="17994BBB" w14:textId="77777777" w:rsidR="00CB74BD" w:rsidRPr="00CB74BD" w:rsidRDefault="00CB74BD" w:rsidP="00D0747A">
            <w:r w:rsidRPr="00CB74BD">
              <w:t> </w:t>
            </w:r>
          </w:p>
        </w:tc>
        <w:tc>
          <w:tcPr>
            <w:tcW w:w="576" w:type="dxa"/>
            <w:noWrap/>
            <w:hideMark/>
          </w:tcPr>
          <w:p w14:paraId="6EFB1362" w14:textId="77777777" w:rsidR="00CB74BD" w:rsidRPr="00CB74BD" w:rsidRDefault="00CB74BD" w:rsidP="00D0747A">
            <w:r w:rsidRPr="00CB74BD">
              <w:t> </w:t>
            </w:r>
          </w:p>
        </w:tc>
        <w:tc>
          <w:tcPr>
            <w:tcW w:w="576" w:type="dxa"/>
            <w:noWrap/>
            <w:hideMark/>
          </w:tcPr>
          <w:p w14:paraId="31237743" w14:textId="77777777" w:rsidR="00CB74BD" w:rsidRPr="00CB74BD" w:rsidRDefault="00CB74BD" w:rsidP="00D0747A">
            <w:r w:rsidRPr="00CB74BD">
              <w:t> </w:t>
            </w:r>
          </w:p>
        </w:tc>
        <w:tc>
          <w:tcPr>
            <w:tcW w:w="576" w:type="dxa"/>
            <w:noWrap/>
            <w:hideMark/>
          </w:tcPr>
          <w:p w14:paraId="38A3051B" w14:textId="77777777" w:rsidR="00CB74BD" w:rsidRPr="00CB74BD" w:rsidRDefault="00CB74BD" w:rsidP="00D0747A">
            <w:r w:rsidRPr="00CB74BD">
              <w:t> </w:t>
            </w:r>
          </w:p>
        </w:tc>
      </w:tr>
      <w:tr w:rsidR="00CB74BD" w:rsidRPr="00CB74BD" w14:paraId="5A1DC3D5" w14:textId="77777777" w:rsidTr="004A3479">
        <w:trPr>
          <w:trHeight w:val="300"/>
          <w:jc w:val="center"/>
        </w:trPr>
        <w:tc>
          <w:tcPr>
            <w:tcW w:w="1007" w:type="dxa"/>
            <w:noWrap/>
          </w:tcPr>
          <w:p w14:paraId="7660601D" w14:textId="723070BA" w:rsidR="00CB74BD" w:rsidRPr="00CB74BD" w:rsidRDefault="00CB74BD" w:rsidP="00D0747A">
            <w:r w:rsidRPr="00CB74BD">
              <w:t>Apr-21</w:t>
            </w:r>
          </w:p>
        </w:tc>
        <w:tc>
          <w:tcPr>
            <w:tcW w:w="1099" w:type="dxa"/>
            <w:noWrap/>
          </w:tcPr>
          <w:p w14:paraId="6A5438BC" w14:textId="47619757" w:rsidR="00CB74BD" w:rsidRPr="00CB74BD" w:rsidRDefault="00CB74BD" w:rsidP="00D0747A">
            <w:r w:rsidRPr="00CB74BD">
              <w:t>Q2 2021</w:t>
            </w:r>
          </w:p>
        </w:tc>
        <w:tc>
          <w:tcPr>
            <w:tcW w:w="3104" w:type="dxa"/>
            <w:noWrap/>
          </w:tcPr>
          <w:p w14:paraId="3C117C68" w14:textId="05F7CF15" w:rsidR="00CB74BD" w:rsidRPr="00CB74BD" w:rsidRDefault="00CB74BD" w:rsidP="00D0747A">
            <w:r w:rsidRPr="00CB74BD">
              <w:t>Statewide active</w:t>
            </w:r>
          </w:p>
        </w:tc>
        <w:tc>
          <w:tcPr>
            <w:tcW w:w="576" w:type="dxa"/>
            <w:noWrap/>
          </w:tcPr>
          <w:p w14:paraId="05DE8225" w14:textId="77777777" w:rsidR="00CB74BD" w:rsidRPr="00CB74BD" w:rsidRDefault="00CB74BD" w:rsidP="00D0747A"/>
        </w:tc>
        <w:tc>
          <w:tcPr>
            <w:tcW w:w="576" w:type="dxa"/>
            <w:noWrap/>
          </w:tcPr>
          <w:p w14:paraId="4433692F" w14:textId="77777777" w:rsidR="00CB74BD" w:rsidRPr="00CB74BD" w:rsidRDefault="00CB74BD" w:rsidP="00D0747A"/>
        </w:tc>
        <w:tc>
          <w:tcPr>
            <w:tcW w:w="576" w:type="dxa"/>
            <w:noWrap/>
          </w:tcPr>
          <w:p w14:paraId="0356FC35" w14:textId="77777777" w:rsidR="00CB74BD" w:rsidRPr="00CB74BD" w:rsidRDefault="00CB74BD" w:rsidP="00D0747A"/>
        </w:tc>
        <w:tc>
          <w:tcPr>
            <w:tcW w:w="576" w:type="dxa"/>
            <w:noWrap/>
          </w:tcPr>
          <w:p w14:paraId="3B161F59" w14:textId="77777777" w:rsidR="00CB74BD" w:rsidRPr="00CB74BD" w:rsidRDefault="00CB74BD" w:rsidP="00D0747A"/>
        </w:tc>
        <w:tc>
          <w:tcPr>
            <w:tcW w:w="576" w:type="dxa"/>
            <w:noWrap/>
          </w:tcPr>
          <w:p w14:paraId="5ABD659C" w14:textId="77777777" w:rsidR="00CB74BD" w:rsidRPr="00CB74BD" w:rsidRDefault="00CB74BD" w:rsidP="00D0747A"/>
        </w:tc>
        <w:tc>
          <w:tcPr>
            <w:tcW w:w="576" w:type="dxa"/>
            <w:noWrap/>
          </w:tcPr>
          <w:p w14:paraId="2EEFE811" w14:textId="77777777" w:rsidR="00CB74BD" w:rsidRPr="00CB74BD" w:rsidRDefault="00CB74BD" w:rsidP="00D0747A"/>
        </w:tc>
        <w:tc>
          <w:tcPr>
            <w:tcW w:w="576" w:type="dxa"/>
            <w:noWrap/>
          </w:tcPr>
          <w:p w14:paraId="44A69836" w14:textId="77777777" w:rsidR="00CB74BD" w:rsidRPr="00CB74BD" w:rsidRDefault="00CB74BD" w:rsidP="00D0747A"/>
        </w:tc>
        <w:tc>
          <w:tcPr>
            <w:tcW w:w="576" w:type="dxa"/>
            <w:noWrap/>
          </w:tcPr>
          <w:p w14:paraId="462A26C2" w14:textId="77777777" w:rsidR="00CB74BD" w:rsidRPr="00CB74BD" w:rsidRDefault="00CB74BD" w:rsidP="00D0747A"/>
        </w:tc>
      </w:tr>
      <w:tr w:rsidR="00CB74BD" w:rsidRPr="00CB74BD" w14:paraId="399496D1" w14:textId="77777777" w:rsidTr="004A3479">
        <w:trPr>
          <w:trHeight w:val="300"/>
          <w:jc w:val="center"/>
        </w:trPr>
        <w:tc>
          <w:tcPr>
            <w:tcW w:w="1007" w:type="dxa"/>
            <w:noWrap/>
          </w:tcPr>
          <w:p w14:paraId="09C4CE20" w14:textId="0ED01061" w:rsidR="00CB74BD" w:rsidRPr="00CB74BD" w:rsidRDefault="00CB74BD" w:rsidP="00D0747A">
            <w:r w:rsidRPr="00CB74BD">
              <w:t>May-21</w:t>
            </w:r>
          </w:p>
        </w:tc>
        <w:tc>
          <w:tcPr>
            <w:tcW w:w="1099" w:type="dxa"/>
            <w:noWrap/>
          </w:tcPr>
          <w:p w14:paraId="5E24546D" w14:textId="5F11121B" w:rsidR="00CB74BD" w:rsidRPr="00CB74BD" w:rsidRDefault="00CB74BD" w:rsidP="00D0747A">
            <w:r w:rsidRPr="00CB74BD">
              <w:t>Q2 2021</w:t>
            </w:r>
          </w:p>
        </w:tc>
        <w:tc>
          <w:tcPr>
            <w:tcW w:w="3104" w:type="dxa"/>
            <w:noWrap/>
          </w:tcPr>
          <w:p w14:paraId="32C7B948" w14:textId="2CF090D8" w:rsidR="00CB74BD" w:rsidRPr="00CB74BD" w:rsidRDefault="00CB74BD" w:rsidP="00D0747A">
            <w:r w:rsidRPr="00CB74BD">
              <w:t>Statewide active</w:t>
            </w:r>
          </w:p>
        </w:tc>
        <w:tc>
          <w:tcPr>
            <w:tcW w:w="576" w:type="dxa"/>
            <w:noWrap/>
          </w:tcPr>
          <w:p w14:paraId="331BD746" w14:textId="77777777" w:rsidR="00CB74BD" w:rsidRPr="00CB74BD" w:rsidRDefault="00CB74BD" w:rsidP="00D0747A"/>
        </w:tc>
        <w:tc>
          <w:tcPr>
            <w:tcW w:w="576" w:type="dxa"/>
            <w:noWrap/>
          </w:tcPr>
          <w:p w14:paraId="4E1E6348" w14:textId="77777777" w:rsidR="00CB74BD" w:rsidRPr="00CB74BD" w:rsidRDefault="00CB74BD" w:rsidP="00D0747A"/>
        </w:tc>
        <w:tc>
          <w:tcPr>
            <w:tcW w:w="576" w:type="dxa"/>
            <w:noWrap/>
          </w:tcPr>
          <w:p w14:paraId="7ED3AC9A" w14:textId="77777777" w:rsidR="00CB74BD" w:rsidRPr="00CB74BD" w:rsidRDefault="00CB74BD" w:rsidP="00D0747A"/>
        </w:tc>
        <w:tc>
          <w:tcPr>
            <w:tcW w:w="576" w:type="dxa"/>
            <w:noWrap/>
          </w:tcPr>
          <w:p w14:paraId="19917BEB" w14:textId="77777777" w:rsidR="00CB74BD" w:rsidRPr="00CB74BD" w:rsidRDefault="00CB74BD" w:rsidP="00D0747A"/>
        </w:tc>
        <w:tc>
          <w:tcPr>
            <w:tcW w:w="576" w:type="dxa"/>
            <w:noWrap/>
          </w:tcPr>
          <w:p w14:paraId="7D4BB677" w14:textId="77777777" w:rsidR="00CB74BD" w:rsidRPr="00CB74BD" w:rsidRDefault="00CB74BD" w:rsidP="00D0747A"/>
        </w:tc>
        <w:tc>
          <w:tcPr>
            <w:tcW w:w="576" w:type="dxa"/>
            <w:noWrap/>
          </w:tcPr>
          <w:p w14:paraId="5CA3FA1A" w14:textId="77777777" w:rsidR="00CB74BD" w:rsidRPr="00CB74BD" w:rsidRDefault="00CB74BD" w:rsidP="00D0747A"/>
        </w:tc>
        <w:tc>
          <w:tcPr>
            <w:tcW w:w="576" w:type="dxa"/>
            <w:noWrap/>
          </w:tcPr>
          <w:p w14:paraId="19BE8F7D" w14:textId="77777777" w:rsidR="00CB74BD" w:rsidRPr="00CB74BD" w:rsidRDefault="00CB74BD" w:rsidP="00D0747A"/>
        </w:tc>
        <w:tc>
          <w:tcPr>
            <w:tcW w:w="576" w:type="dxa"/>
            <w:noWrap/>
          </w:tcPr>
          <w:p w14:paraId="3E93724C" w14:textId="77777777" w:rsidR="00CB74BD" w:rsidRPr="00CB74BD" w:rsidRDefault="00CB74BD" w:rsidP="00D0747A"/>
        </w:tc>
      </w:tr>
      <w:tr w:rsidR="00CB74BD" w:rsidRPr="00CB74BD" w14:paraId="1A24A548" w14:textId="77777777" w:rsidTr="004A3479">
        <w:trPr>
          <w:trHeight w:val="300"/>
          <w:jc w:val="center"/>
        </w:trPr>
        <w:tc>
          <w:tcPr>
            <w:tcW w:w="1007" w:type="dxa"/>
            <w:noWrap/>
          </w:tcPr>
          <w:p w14:paraId="23B58D5F" w14:textId="23F16BB0" w:rsidR="00CB74BD" w:rsidRPr="00CB74BD" w:rsidRDefault="00CB74BD" w:rsidP="00D0747A">
            <w:r w:rsidRPr="00CB74BD">
              <w:t>Jun-21</w:t>
            </w:r>
          </w:p>
        </w:tc>
        <w:tc>
          <w:tcPr>
            <w:tcW w:w="1099" w:type="dxa"/>
            <w:noWrap/>
          </w:tcPr>
          <w:p w14:paraId="06FD4C0F" w14:textId="7FBD01C5" w:rsidR="00CB74BD" w:rsidRPr="00CB74BD" w:rsidRDefault="00CB74BD" w:rsidP="00D0747A">
            <w:r w:rsidRPr="00CB74BD">
              <w:t>Q2 2021</w:t>
            </w:r>
          </w:p>
        </w:tc>
        <w:tc>
          <w:tcPr>
            <w:tcW w:w="3104" w:type="dxa"/>
            <w:noWrap/>
          </w:tcPr>
          <w:p w14:paraId="3E5B870F" w14:textId="10F9E3AC" w:rsidR="00CB74BD" w:rsidRPr="00CB74BD" w:rsidRDefault="00CB74BD" w:rsidP="00D0747A">
            <w:r w:rsidRPr="00CB74BD">
              <w:t>Statewide active</w:t>
            </w:r>
          </w:p>
        </w:tc>
        <w:tc>
          <w:tcPr>
            <w:tcW w:w="576" w:type="dxa"/>
            <w:noWrap/>
          </w:tcPr>
          <w:p w14:paraId="58591959" w14:textId="77777777" w:rsidR="00CB74BD" w:rsidRPr="00CB74BD" w:rsidRDefault="00CB74BD" w:rsidP="00D0747A"/>
        </w:tc>
        <w:tc>
          <w:tcPr>
            <w:tcW w:w="576" w:type="dxa"/>
            <w:noWrap/>
          </w:tcPr>
          <w:p w14:paraId="6D2E4F6F" w14:textId="77777777" w:rsidR="00CB74BD" w:rsidRPr="00CB74BD" w:rsidRDefault="00CB74BD" w:rsidP="00D0747A"/>
        </w:tc>
        <w:tc>
          <w:tcPr>
            <w:tcW w:w="576" w:type="dxa"/>
            <w:noWrap/>
          </w:tcPr>
          <w:p w14:paraId="24AA48F1" w14:textId="77777777" w:rsidR="00CB74BD" w:rsidRPr="00CB74BD" w:rsidRDefault="00CB74BD" w:rsidP="00D0747A"/>
        </w:tc>
        <w:tc>
          <w:tcPr>
            <w:tcW w:w="576" w:type="dxa"/>
            <w:noWrap/>
          </w:tcPr>
          <w:p w14:paraId="33BD0384" w14:textId="77777777" w:rsidR="00CB74BD" w:rsidRPr="00CB74BD" w:rsidRDefault="00CB74BD" w:rsidP="00D0747A"/>
        </w:tc>
        <w:tc>
          <w:tcPr>
            <w:tcW w:w="576" w:type="dxa"/>
            <w:noWrap/>
          </w:tcPr>
          <w:p w14:paraId="753CC11B" w14:textId="77777777" w:rsidR="00CB74BD" w:rsidRPr="00CB74BD" w:rsidRDefault="00CB74BD" w:rsidP="00D0747A"/>
        </w:tc>
        <w:tc>
          <w:tcPr>
            <w:tcW w:w="576" w:type="dxa"/>
            <w:noWrap/>
          </w:tcPr>
          <w:p w14:paraId="36C92710" w14:textId="77777777" w:rsidR="00CB74BD" w:rsidRPr="00CB74BD" w:rsidRDefault="00CB74BD" w:rsidP="00D0747A"/>
        </w:tc>
        <w:tc>
          <w:tcPr>
            <w:tcW w:w="576" w:type="dxa"/>
            <w:noWrap/>
          </w:tcPr>
          <w:p w14:paraId="5DEC6D33" w14:textId="77777777" w:rsidR="00CB74BD" w:rsidRPr="00CB74BD" w:rsidRDefault="00CB74BD" w:rsidP="00D0747A"/>
        </w:tc>
        <w:tc>
          <w:tcPr>
            <w:tcW w:w="576" w:type="dxa"/>
            <w:noWrap/>
          </w:tcPr>
          <w:p w14:paraId="522615F1" w14:textId="77777777" w:rsidR="00CB74BD" w:rsidRPr="00CB74BD" w:rsidRDefault="00CB74BD" w:rsidP="00D0747A"/>
        </w:tc>
      </w:tr>
      <w:tr w:rsidR="00CB74BD" w:rsidRPr="00CB74BD" w14:paraId="036A2262" w14:textId="77777777" w:rsidTr="004A3479">
        <w:trPr>
          <w:trHeight w:val="300"/>
          <w:jc w:val="center"/>
        </w:trPr>
        <w:tc>
          <w:tcPr>
            <w:tcW w:w="1007" w:type="dxa"/>
            <w:noWrap/>
          </w:tcPr>
          <w:p w14:paraId="6C2315B2" w14:textId="5D9FEFC3" w:rsidR="00CB74BD" w:rsidRPr="00CB74BD" w:rsidRDefault="00CB74BD" w:rsidP="00D0747A">
            <w:r w:rsidRPr="00CB74BD">
              <w:t>Jul-21</w:t>
            </w:r>
          </w:p>
        </w:tc>
        <w:tc>
          <w:tcPr>
            <w:tcW w:w="1099" w:type="dxa"/>
            <w:noWrap/>
          </w:tcPr>
          <w:p w14:paraId="19042FD3" w14:textId="5BBDE11B" w:rsidR="00CB74BD" w:rsidRPr="00CB74BD" w:rsidRDefault="00CB74BD" w:rsidP="00D0747A">
            <w:r w:rsidRPr="00CB74BD">
              <w:t>Q3 2021</w:t>
            </w:r>
          </w:p>
        </w:tc>
        <w:tc>
          <w:tcPr>
            <w:tcW w:w="3104" w:type="dxa"/>
            <w:noWrap/>
          </w:tcPr>
          <w:p w14:paraId="50AB6354" w14:textId="1E71BDC6" w:rsidR="00CB74BD" w:rsidRPr="00CB74BD" w:rsidRDefault="00CB74BD" w:rsidP="00D0747A">
            <w:r w:rsidRPr="00CB74BD">
              <w:t>Statewide active</w:t>
            </w:r>
          </w:p>
        </w:tc>
        <w:tc>
          <w:tcPr>
            <w:tcW w:w="576" w:type="dxa"/>
            <w:noWrap/>
          </w:tcPr>
          <w:p w14:paraId="5A0E77C3" w14:textId="77777777" w:rsidR="00CB74BD" w:rsidRPr="00CB74BD" w:rsidRDefault="00CB74BD" w:rsidP="00D0747A"/>
        </w:tc>
        <w:tc>
          <w:tcPr>
            <w:tcW w:w="576" w:type="dxa"/>
            <w:noWrap/>
          </w:tcPr>
          <w:p w14:paraId="78156368" w14:textId="77777777" w:rsidR="00CB74BD" w:rsidRPr="00CB74BD" w:rsidRDefault="00CB74BD" w:rsidP="00D0747A"/>
        </w:tc>
        <w:tc>
          <w:tcPr>
            <w:tcW w:w="576" w:type="dxa"/>
            <w:noWrap/>
          </w:tcPr>
          <w:p w14:paraId="67937860" w14:textId="77777777" w:rsidR="00CB74BD" w:rsidRPr="00CB74BD" w:rsidRDefault="00CB74BD" w:rsidP="00D0747A"/>
        </w:tc>
        <w:tc>
          <w:tcPr>
            <w:tcW w:w="576" w:type="dxa"/>
            <w:noWrap/>
          </w:tcPr>
          <w:p w14:paraId="1F7DF4C9" w14:textId="77777777" w:rsidR="00CB74BD" w:rsidRPr="00CB74BD" w:rsidRDefault="00CB74BD" w:rsidP="00D0747A"/>
        </w:tc>
        <w:tc>
          <w:tcPr>
            <w:tcW w:w="576" w:type="dxa"/>
            <w:noWrap/>
          </w:tcPr>
          <w:p w14:paraId="3E248ACD" w14:textId="77777777" w:rsidR="00CB74BD" w:rsidRPr="00CB74BD" w:rsidRDefault="00CB74BD" w:rsidP="00D0747A"/>
        </w:tc>
        <w:tc>
          <w:tcPr>
            <w:tcW w:w="576" w:type="dxa"/>
            <w:noWrap/>
          </w:tcPr>
          <w:p w14:paraId="1AEDB4C4" w14:textId="77777777" w:rsidR="00CB74BD" w:rsidRPr="00CB74BD" w:rsidRDefault="00CB74BD" w:rsidP="00D0747A"/>
        </w:tc>
        <w:tc>
          <w:tcPr>
            <w:tcW w:w="576" w:type="dxa"/>
            <w:noWrap/>
          </w:tcPr>
          <w:p w14:paraId="2C3C71F6" w14:textId="77777777" w:rsidR="00CB74BD" w:rsidRPr="00CB74BD" w:rsidRDefault="00CB74BD" w:rsidP="00D0747A"/>
        </w:tc>
        <w:tc>
          <w:tcPr>
            <w:tcW w:w="576" w:type="dxa"/>
            <w:noWrap/>
          </w:tcPr>
          <w:p w14:paraId="25ECAB08" w14:textId="77777777" w:rsidR="00CB74BD" w:rsidRPr="00CB74BD" w:rsidRDefault="00CB74BD" w:rsidP="00D0747A"/>
        </w:tc>
      </w:tr>
      <w:tr w:rsidR="00CB74BD" w:rsidRPr="00CB74BD" w14:paraId="226C995E" w14:textId="77777777" w:rsidTr="004A3479">
        <w:trPr>
          <w:trHeight w:val="300"/>
          <w:jc w:val="center"/>
        </w:trPr>
        <w:tc>
          <w:tcPr>
            <w:tcW w:w="1007" w:type="dxa"/>
            <w:noWrap/>
          </w:tcPr>
          <w:p w14:paraId="1C95205E" w14:textId="0C8A1D2A" w:rsidR="00CB74BD" w:rsidRPr="00CB74BD" w:rsidRDefault="00CB74BD" w:rsidP="00D0747A">
            <w:r w:rsidRPr="00CB74BD">
              <w:t>Aug-21</w:t>
            </w:r>
          </w:p>
        </w:tc>
        <w:tc>
          <w:tcPr>
            <w:tcW w:w="1099" w:type="dxa"/>
            <w:noWrap/>
          </w:tcPr>
          <w:p w14:paraId="200774A4" w14:textId="298D8BA2" w:rsidR="00CB74BD" w:rsidRPr="00CB74BD" w:rsidRDefault="00CB74BD" w:rsidP="00D0747A">
            <w:r w:rsidRPr="00CB74BD">
              <w:t>Q3 2021</w:t>
            </w:r>
          </w:p>
        </w:tc>
        <w:tc>
          <w:tcPr>
            <w:tcW w:w="3104" w:type="dxa"/>
            <w:noWrap/>
          </w:tcPr>
          <w:p w14:paraId="59127DC9" w14:textId="3632823F" w:rsidR="00CB74BD" w:rsidRPr="00CB74BD" w:rsidRDefault="00CB74BD" w:rsidP="00D0747A">
            <w:r w:rsidRPr="00CB74BD">
              <w:t>Statewide active</w:t>
            </w:r>
          </w:p>
        </w:tc>
        <w:tc>
          <w:tcPr>
            <w:tcW w:w="576" w:type="dxa"/>
            <w:noWrap/>
          </w:tcPr>
          <w:p w14:paraId="3570696D" w14:textId="77777777" w:rsidR="00CB74BD" w:rsidRPr="00CB74BD" w:rsidRDefault="00CB74BD" w:rsidP="00D0747A"/>
        </w:tc>
        <w:tc>
          <w:tcPr>
            <w:tcW w:w="576" w:type="dxa"/>
            <w:noWrap/>
          </w:tcPr>
          <w:p w14:paraId="34895988" w14:textId="77777777" w:rsidR="00CB74BD" w:rsidRPr="00CB74BD" w:rsidRDefault="00CB74BD" w:rsidP="00D0747A"/>
        </w:tc>
        <w:tc>
          <w:tcPr>
            <w:tcW w:w="576" w:type="dxa"/>
            <w:noWrap/>
          </w:tcPr>
          <w:p w14:paraId="143C9591" w14:textId="77777777" w:rsidR="00CB74BD" w:rsidRPr="00CB74BD" w:rsidRDefault="00CB74BD" w:rsidP="00D0747A"/>
        </w:tc>
        <w:tc>
          <w:tcPr>
            <w:tcW w:w="576" w:type="dxa"/>
            <w:noWrap/>
          </w:tcPr>
          <w:p w14:paraId="7342A960" w14:textId="77777777" w:rsidR="00CB74BD" w:rsidRPr="00CB74BD" w:rsidRDefault="00CB74BD" w:rsidP="00D0747A"/>
        </w:tc>
        <w:tc>
          <w:tcPr>
            <w:tcW w:w="576" w:type="dxa"/>
            <w:noWrap/>
          </w:tcPr>
          <w:p w14:paraId="5F68AF93" w14:textId="77777777" w:rsidR="00CB74BD" w:rsidRPr="00CB74BD" w:rsidRDefault="00CB74BD" w:rsidP="00D0747A"/>
        </w:tc>
        <w:tc>
          <w:tcPr>
            <w:tcW w:w="576" w:type="dxa"/>
            <w:noWrap/>
          </w:tcPr>
          <w:p w14:paraId="4E24833A" w14:textId="77777777" w:rsidR="00CB74BD" w:rsidRPr="00CB74BD" w:rsidRDefault="00CB74BD" w:rsidP="00D0747A"/>
        </w:tc>
        <w:tc>
          <w:tcPr>
            <w:tcW w:w="576" w:type="dxa"/>
            <w:noWrap/>
          </w:tcPr>
          <w:p w14:paraId="69CB2654" w14:textId="77777777" w:rsidR="00CB74BD" w:rsidRPr="00CB74BD" w:rsidRDefault="00CB74BD" w:rsidP="00D0747A"/>
        </w:tc>
        <w:tc>
          <w:tcPr>
            <w:tcW w:w="576" w:type="dxa"/>
            <w:noWrap/>
          </w:tcPr>
          <w:p w14:paraId="318A51B0" w14:textId="77777777" w:rsidR="00CB74BD" w:rsidRPr="00CB74BD" w:rsidRDefault="00CB74BD" w:rsidP="00D0747A"/>
        </w:tc>
      </w:tr>
      <w:tr w:rsidR="00CB74BD" w:rsidRPr="00CB74BD" w14:paraId="644C0B4E" w14:textId="77777777" w:rsidTr="004A3479">
        <w:trPr>
          <w:trHeight w:val="300"/>
          <w:jc w:val="center"/>
        </w:trPr>
        <w:tc>
          <w:tcPr>
            <w:tcW w:w="1007" w:type="dxa"/>
            <w:noWrap/>
          </w:tcPr>
          <w:p w14:paraId="3BD10077" w14:textId="4ABB6DCC" w:rsidR="00CB74BD" w:rsidRPr="00CB74BD" w:rsidRDefault="00CB74BD" w:rsidP="00D0747A">
            <w:r w:rsidRPr="00CB74BD">
              <w:t>Sep-21</w:t>
            </w:r>
          </w:p>
        </w:tc>
        <w:tc>
          <w:tcPr>
            <w:tcW w:w="1099" w:type="dxa"/>
            <w:noWrap/>
          </w:tcPr>
          <w:p w14:paraId="5C0BB0B8" w14:textId="13700CD2" w:rsidR="00CB74BD" w:rsidRPr="00CB74BD" w:rsidRDefault="00CB74BD" w:rsidP="00D0747A">
            <w:r w:rsidRPr="00CB74BD">
              <w:t>Q3 2021</w:t>
            </w:r>
          </w:p>
        </w:tc>
        <w:tc>
          <w:tcPr>
            <w:tcW w:w="3104" w:type="dxa"/>
            <w:noWrap/>
          </w:tcPr>
          <w:p w14:paraId="47876B5E" w14:textId="4CA8825F" w:rsidR="00CB74BD" w:rsidRPr="00CB74BD" w:rsidRDefault="00CB74BD" w:rsidP="00D0747A">
            <w:r w:rsidRPr="00CB74BD">
              <w:t>Statewide active</w:t>
            </w:r>
          </w:p>
        </w:tc>
        <w:tc>
          <w:tcPr>
            <w:tcW w:w="576" w:type="dxa"/>
            <w:noWrap/>
          </w:tcPr>
          <w:p w14:paraId="312EDDE6" w14:textId="77777777" w:rsidR="00CB74BD" w:rsidRPr="00CB74BD" w:rsidRDefault="00CB74BD" w:rsidP="00D0747A"/>
        </w:tc>
        <w:tc>
          <w:tcPr>
            <w:tcW w:w="576" w:type="dxa"/>
            <w:noWrap/>
          </w:tcPr>
          <w:p w14:paraId="6E0397D8" w14:textId="77777777" w:rsidR="00CB74BD" w:rsidRPr="00CB74BD" w:rsidRDefault="00CB74BD" w:rsidP="00D0747A"/>
        </w:tc>
        <w:tc>
          <w:tcPr>
            <w:tcW w:w="576" w:type="dxa"/>
            <w:noWrap/>
          </w:tcPr>
          <w:p w14:paraId="1AE52AC3" w14:textId="77777777" w:rsidR="00CB74BD" w:rsidRPr="00CB74BD" w:rsidRDefault="00CB74BD" w:rsidP="00D0747A"/>
        </w:tc>
        <w:tc>
          <w:tcPr>
            <w:tcW w:w="576" w:type="dxa"/>
            <w:noWrap/>
          </w:tcPr>
          <w:p w14:paraId="64A646E4" w14:textId="77777777" w:rsidR="00CB74BD" w:rsidRPr="00CB74BD" w:rsidRDefault="00CB74BD" w:rsidP="00D0747A"/>
        </w:tc>
        <w:tc>
          <w:tcPr>
            <w:tcW w:w="576" w:type="dxa"/>
            <w:noWrap/>
          </w:tcPr>
          <w:p w14:paraId="59FA80AD" w14:textId="77777777" w:rsidR="00CB74BD" w:rsidRPr="00CB74BD" w:rsidRDefault="00CB74BD" w:rsidP="00D0747A"/>
        </w:tc>
        <w:tc>
          <w:tcPr>
            <w:tcW w:w="576" w:type="dxa"/>
            <w:noWrap/>
          </w:tcPr>
          <w:p w14:paraId="7A27639B" w14:textId="77777777" w:rsidR="00CB74BD" w:rsidRPr="00CB74BD" w:rsidRDefault="00CB74BD" w:rsidP="00D0747A"/>
        </w:tc>
        <w:tc>
          <w:tcPr>
            <w:tcW w:w="576" w:type="dxa"/>
            <w:noWrap/>
          </w:tcPr>
          <w:p w14:paraId="54252DB0" w14:textId="77777777" w:rsidR="00CB74BD" w:rsidRPr="00CB74BD" w:rsidRDefault="00CB74BD" w:rsidP="00D0747A"/>
        </w:tc>
        <w:tc>
          <w:tcPr>
            <w:tcW w:w="576" w:type="dxa"/>
            <w:noWrap/>
          </w:tcPr>
          <w:p w14:paraId="3156A6DC" w14:textId="77777777" w:rsidR="00CB74BD" w:rsidRPr="00CB74BD" w:rsidRDefault="00CB74BD" w:rsidP="00D0747A"/>
        </w:tc>
      </w:tr>
      <w:tr w:rsidR="00CB74BD" w:rsidRPr="00CB74BD" w14:paraId="60DF8546" w14:textId="77777777" w:rsidTr="004A3479">
        <w:trPr>
          <w:trHeight w:val="300"/>
          <w:jc w:val="center"/>
        </w:trPr>
        <w:tc>
          <w:tcPr>
            <w:tcW w:w="1007" w:type="dxa"/>
            <w:noWrap/>
          </w:tcPr>
          <w:p w14:paraId="165EEB96" w14:textId="779E452F" w:rsidR="00CB74BD" w:rsidRPr="00CB74BD" w:rsidRDefault="00CB74BD" w:rsidP="00D0747A">
            <w:r w:rsidRPr="00CB74BD">
              <w:t>Oct-21</w:t>
            </w:r>
          </w:p>
        </w:tc>
        <w:tc>
          <w:tcPr>
            <w:tcW w:w="1099" w:type="dxa"/>
            <w:noWrap/>
          </w:tcPr>
          <w:p w14:paraId="5280A9AA" w14:textId="0DD111A4" w:rsidR="00CB74BD" w:rsidRPr="00CB74BD" w:rsidRDefault="00CB74BD" w:rsidP="00D0747A">
            <w:r w:rsidRPr="00CB74BD">
              <w:t>Q4 2021</w:t>
            </w:r>
          </w:p>
        </w:tc>
        <w:tc>
          <w:tcPr>
            <w:tcW w:w="3104" w:type="dxa"/>
            <w:noWrap/>
          </w:tcPr>
          <w:p w14:paraId="2CF9C63C" w14:textId="289E73E8" w:rsidR="00CB74BD" w:rsidRPr="00CB74BD" w:rsidRDefault="00CB74BD" w:rsidP="00D0747A">
            <w:r w:rsidRPr="00CB74BD">
              <w:t>Statewide active</w:t>
            </w:r>
          </w:p>
        </w:tc>
        <w:tc>
          <w:tcPr>
            <w:tcW w:w="576" w:type="dxa"/>
            <w:noWrap/>
          </w:tcPr>
          <w:p w14:paraId="0536BFB8" w14:textId="77777777" w:rsidR="00CB74BD" w:rsidRPr="00CB74BD" w:rsidRDefault="00CB74BD" w:rsidP="00D0747A"/>
        </w:tc>
        <w:tc>
          <w:tcPr>
            <w:tcW w:w="576" w:type="dxa"/>
            <w:noWrap/>
          </w:tcPr>
          <w:p w14:paraId="2065BA1B" w14:textId="77777777" w:rsidR="00CB74BD" w:rsidRPr="00CB74BD" w:rsidRDefault="00CB74BD" w:rsidP="00D0747A"/>
        </w:tc>
        <w:tc>
          <w:tcPr>
            <w:tcW w:w="576" w:type="dxa"/>
            <w:noWrap/>
          </w:tcPr>
          <w:p w14:paraId="79A1637D" w14:textId="77777777" w:rsidR="00CB74BD" w:rsidRPr="00CB74BD" w:rsidRDefault="00CB74BD" w:rsidP="00D0747A"/>
        </w:tc>
        <w:tc>
          <w:tcPr>
            <w:tcW w:w="576" w:type="dxa"/>
            <w:noWrap/>
          </w:tcPr>
          <w:p w14:paraId="3F72AFC4" w14:textId="77777777" w:rsidR="00CB74BD" w:rsidRPr="00CB74BD" w:rsidRDefault="00CB74BD" w:rsidP="00D0747A"/>
        </w:tc>
        <w:tc>
          <w:tcPr>
            <w:tcW w:w="576" w:type="dxa"/>
            <w:noWrap/>
          </w:tcPr>
          <w:p w14:paraId="2DCDC7B3" w14:textId="77777777" w:rsidR="00CB74BD" w:rsidRPr="00CB74BD" w:rsidRDefault="00CB74BD" w:rsidP="00D0747A"/>
        </w:tc>
        <w:tc>
          <w:tcPr>
            <w:tcW w:w="576" w:type="dxa"/>
            <w:noWrap/>
          </w:tcPr>
          <w:p w14:paraId="4A72DB2B" w14:textId="77777777" w:rsidR="00CB74BD" w:rsidRPr="00CB74BD" w:rsidRDefault="00CB74BD" w:rsidP="00D0747A"/>
        </w:tc>
        <w:tc>
          <w:tcPr>
            <w:tcW w:w="576" w:type="dxa"/>
            <w:noWrap/>
          </w:tcPr>
          <w:p w14:paraId="334EE2DA" w14:textId="77777777" w:rsidR="00CB74BD" w:rsidRPr="00CB74BD" w:rsidRDefault="00CB74BD" w:rsidP="00D0747A"/>
        </w:tc>
        <w:tc>
          <w:tcPr>
            <w:tcW w:w="576" w:type="dxa"/>
            <w:noWrap/>
          </w:tcPr>
          <w:p w14:paraId="7461A40D" w14:textId="77777777" w:rsidR="00CB74BD" w:rsidRPr="00CB74BD" w:rsidRDefault="00CB74BD" w:rsidP="00D0747A"/>
        </w:tc>
      </w:tr>
      <w:tr w:rsidR="00CB74BD" w:rsidRPr="00CB74BD" w14:paraId="2A37A210" w14:textId="77777777" w:rsidTr="004A3479">
        <w:trPr>
          <w:trHeight w:val="300"/>
          <w:jc w:val="center"/>
        </w:trPr>
        <w:tc>
          <w:tcPr>
            <w:tcW w:w="1007" w:type="dxa"/>
            <w:noWrap/>
          </w:tcPr>
          <w:p w14:paraId="02126B23" w14:textId="61D14F04" w:rsidR="00CB74BD" w:rsidRPr="00CB74BD" w:rsidRDefault="00CB74BD" w:rsidP="00D0747A">
            <w:r w:rsidRPr="00CB74BD">
              <w:t>Nov-21</w:t>
            </w:r>
          </w:p>
        </w:tc>
        <w:tc>
          <w:tcPr>
            <w:tcW w:w="1099" w:type="dxa"/>
            <w:noWrap/>
          </w:tcPr>
          <w:p w14:paraId="17A4DFBB" w14:textId="35D12E16" w:rsidR="00CB74BD" w:rsidRPr="00CB74BD" w:rsidRDefault="00CB74BD" w:rsidP="00D0747A">
            <w:r w:rsidRPr="00CB74BD">
              <w:t>Q4 2021</w:t>
            </w:r>
          </w:p>
        </w:tc>
        <w:tc>
          <w:tcPr>
            <w:tcW w:w="3104" w:type="dxa"/>
            <w:noWrap/>
          </w:tcPr>
          <w:p w14:paraId="2B27BD63" w14:textId="34E1CF78" w:rsidR="00CB74BD" w:rsidRPr="00CB74BD" w:rsidRDefault="00CB74BD" w:rsidP="00D0747A">
            <w:r w:rsidRPr="00CB74BD">
              <w:t>Statewide active</w:t>
            </w:r>
          </w:p>
        </w:tc>
        <w:tc>
          <w:tcPr>
            <w:tcW w:w="576" w:type="dxa"/>
            <w:noWrap/>
          </w:tcPr>
          <w:p w14:paraId="2E994F24" w14:textId="77777777" w:rsidR="00CB74BD" w:rsidRPr="00CB74BD" w:rsidRDefault="00CB74BD" w:rsidP="00D0747A"/>
        </w:tc>
        <w:tc>
          <w:tcPr>
            <w:tcW w:w="576" w:type="dxa"/>
            <w:noWrap/>
          </w:tcPr>
          <w:p w14:paraId="4A7DD931" w14:textId="77777777" w:rsidR="00CB74BD" w:rsidRPr="00CB74BD" w:rsidRDefault="00CB74BD" w:rsidP="00D0747A"/>
        </w:tc>
        <w:tc>
          <w:tcPr>
            <w:tcW w:w="576" w:type="dxa"/>
            <w:noWrap/>
          </w:tcPr>
          <w:p w14:paraId="590200B8" w14:textId="77777777" w:rsidR="00CB74BD" w:rsidRPr="00CB74BD" w:rsidRDefault="00CB74BD" w:rsidP="00D0747A"/>
        </w:tc>
        <w:tc>
          <w:tcPr>
            <w:tcW w:w="576" w:type="dxa"/>
            <w:noWrap/>
          </w:tcPr>
          <w:p w14:paraId="3CE27D78" w14:textId="77777777" w:rsidR="00CB74BD" w:rsidRPr="00CB74BD" w:rsidRDefault="00CB74BD" w:rsidP="00D0747A"/>
        </w:tc>
        <w:tc>
          <w:tcPr>
            <w:tcW w:w="576" w:type="dxa"/>
            <w:noWrap/>
          </w:tcPr>
          <w:p w14:paraId="57F42A47" w14:textId="77777777" w:rsidR="00CB74BD" w:rsidRPr="00CB74BD" w:rsidRDefault="00CB74BD" w:rsidP="00D0747A"/>
        </w:tc>
        <w:tc>
          <w:tcPr>
            <w:tcW w:w="576" w:type="dxa"/>
            <w:noWrap/>
          </w:tcPr>
          <w:p w14:paraId="4D06BCC9" w14:textId="77777777" w:rsidR="00CB74BD" w:rsidRPr="00CB74BD" w:rsidRDefault="00CB74BD" w:rsidP="00D0747A"/>
        </w:tc>
        <w:tc>
          <w:tcPr>
            <w:tcW w:w="576" w:type="dxa"/>
            <w:noWrap/>
          </w:tcPr>
          <w:p w14:paraId="16854071" w14:textId="77777777" w:rsidR="00CB74BD" w:rsidRPr="00CB74BD" w:rsidRDefault="00CB74BD" w:rsidP="00D0747A"/>
        </w:tc>
        <w:tc>
          <w:tcPr>
            <w:tcW w:w="576" w:type="dxa"/>
            <w:noWrap/>
          </w:tcPr>
          <w:p w14:paraId="1105E53A" w14:textId="77777777" w:rsidR="00CB74BD" w:rsidRPr="00CB74BD" w:rsidRDefault="00CB74BD" w:rsidP="00D0747A"/>
        </w:tc>
      </w:tr>
      <w:tr w:rsidR="00CB74BD" w:rsidRPr="00CB74BD" w14:paraId="34640E7A" w14:textId="77777777" w:rsidTr="004A3479">
        <w:trPr>
          <w:trHeight w:val="300"/>
          <w:jc w:val="center"/>
        </w:trPr>
        <w:tc>
          <w:tcPr>
            <w:tcW w:w="1007" w:type="dxa"/>
            <w:noWrap/>
          </w:tcPr>
          <w:p w14:paraId="718A58C9" w14:textId="7DCE7469" w:rsidR="00CB74BD" w:rsidRPr="00CB74BD" w:rsidRDefault="00CB74BD" w:rsidP="00D0747A">
            <w:r w:rsidRPr="00CB74BD">
              <w:t>Dec-21</w:t>
            </w:r>
          </w:p>
        </w:tc>
        <w:tc>
          <w:tcPr>
            <w:tcW w:w="1099" w:type="dxa"/>
            <w:noWrap/>
          </w:tcPr>
          <w:p w14:paraId="637CFF18" w14:textId="7454D807" w:rsidR="00CB74BD" w:rsidRPr="00CB74BD" w:rsidRDefault="00CB74BD" w:rsidP="00D0747A">
            <w:r w:rsidRPr="00CB74BD">
              <w:t>Q4 2021</w:t>
            </w:r>
          </w:p>
        </w:tc>
        <w:tc>
          <w:tcPr>
            <w:tcW w:w="3104" w:type="dxa"/>
            <w:noWrap/>
          </w:tcPr>
          <w:p w14:paraId="4D532119" w14:textId="75F0765B" w:rsidR="00CB74BD" w:rsidRPr="00CB74BD" w:rsidRDefault="00CB74BD" w:rsidP="00D0747A">
            <w:r w:rsidRPr="00CB74BD">
              <w:t>Statewide active</w:t>
            </w:r>
          </w:p>
        </w:tc>
        <w:tc>
          <w:tcPr>
            <w:tcW w:w="576" w:type="dxa"/>
            <w:noWrap/>
          </w:tcPr>
          <w:p w14:paraId="09298CB5" w14:textId="77777777" w:rsidR="00CB74BD" w:rsidRPr="00CB74BD" w:rsidRDefault="00CB74BD" w:rsidP="00D0747A"/>
        </w:tc>
        <w:tc>
          <w:tcPr>
            <w:tcW w:w="576" w:type="dxa"/>
            <w:noWrap/>
          </w:tcPr>
          <w:p w14:paraId="1A07C051" w14:textId="77777777" w:rsidR="00CB74BD" w:rsidRPr="00CB74BD" w:rsidRDefault="00CB74BD" w:rsidP="00D0747A"/>
        </w:tc>
        <w:tc>
          <w:tcPr>
            <w:tcW w:w="576" w:type="dxa"/>
            <w:noWrap/>
          </w:tcPr>
          <w:p w14:paraId="36699E9F" w14:textId="77777777" w:rsidR="00CB74BD" w:rsidRPr="00CB74BD" w:rsidRDefault="00CB74BD" w:rsidP="00D0747A"/>
        </w:tc>
        <w:tc>
          <w:tcPr>
            <w:tcW w:w="576" w:type="dxa"/>
            <w:noWrap/>
          </w:tcPr>
          <w:p w14:paraId="0CF70046" w14:textId="77777777" w:rsidR="00CB74BD" w:rsidRPr="00CB74BD" w:rsidRDefault="00CB74BD" w:rsidP="00D0747A"/>
        </w:tc>
        <w:tc>
          <w:tcPr>
            <w:tcW w:w="576" w:type="dxa"/>
            <w:noWrap/>
          </w:tcPr>
          <w:p w14:paraId="7AD22DFB" w14:textId="77777777" w:rsidR="00CB74BD" w:rsidRPr="00CB74BD" w:rsidRDefault="00CB74BD" w:rsidP="00D0747A"/>
        </w:tc>
        <w:tc>
          <w:tcPr>
            <w:tcW w:w="576" w:type="dxa"/>
            <w:noWrap/>
          </w:tcPr>
          <w:p w14:paraId="6C3AEAFF" w14:textId="77777777" w:rsidR="00CB74BD" w:rsidRPr="00CB74BD" w:rsidRDefault="00CB74BD" w:rsidP="00D0747A"/>
        </w:tc>
        <w:tc>
          <w:tcPr>
            <w:tcW w:w="576" w:type="dxa"/>
            <w:noWrap/>
          </w:tcPr>
          <w:p w14:paraId="2B56195F" w14:textId="77777777" w:rsidR="00CB74BD" w:rsidRPr="00CB74BD" w:rsidRDefault="00CB74BD" w:rsidP="00D0747A"/>
        </w:tc>
        <w:tc>
          <w:tcPr>
            <w:tcW w:w="576" w:type="dxa"/>
            <w:noWrap/>
          </w:tcPr>
          <w:p w14:paraId="2118182C" w14:textId="77777777" w:rsidR="00CB74BD" w:rsidRPr="00CB74BD" w:rsidRDefault="00CB74BD" w:rsidP="00D0747A"/>
        </w:tc>
      </w:tr>
      <w:tr w:rsidR="00CB74BD" w:rsidRPr="00CB74BD" w14:paraId="25BCFD6B" w14:textId="77777777" w:rsidTr="004A3479">
        <w:trPr>
          <w:trHeight w:val="300"/>
          <w:jc w:val="center"/>
        </w:trPr>
        <w:tc>
          <w:tcPr>
            <w:tcW w:w="1007" w:type="dxa"/>
            <w:noWrap/>
          </w:tcPr>
          <w:p w14:paraId="2126B328" w14:textId="24F97DF7" w:rsidR="00CB74BD" w:rsidRPr="00CB74BD" w:rsidRDefault="00CB74BD" w:rsidP="00D0747A">
            <w:r w:rsidRPr="00CB74BD">
              <w:t>Jan-22</w:t>
            </w:r>
          </w:p>
        </w:tc>
        <w:tc>
          <w:tcPr>
            <w:tcW w:w="1099" w:type="dxa"/>
            <w:noWrap/>
          </w:tcPr>
          <w:p w14:paraId="64B3B735" w14:textId="12623EC8" w:rsidR="00CB74BD" w:rsidRPr="00CB74BD" w:rsidRDefault="00CB74BD" w:rsidP="00D0747A">
            <w:r w:rsidRPr="00CB74BD">
              <w:t>Q1 2022</w:t>
            </w:r>
          </w:p>
        </w:tc>
        <w:tc>
          <w:tcPr>
            <w:tcW w:w="3104" w:type="dxa"/>
            <w:noWrap/>
          </w:tcPr>
          <w:p w14:paraId="5D885680" w14:textId="5E0F2E29" w:rsidR="00CB74BD" w:rsidRPr="00CB74BD" w:rsidRDefault="00CB74BD" w:rsidP="00D0747A">
            <w:r w:rsidRPr="00CB74BD">
              <w:t>Statewide active</w:t>
            </w:r>
          </w:p>
        </w:tc>
        <w:tc>
          <w:tcPr>
            <w:tcW w:w="576" w:type="dxa"/>
            <w:noWrap/>
          </w:tcPr>
          <w:p w14:paraId="526B5C11" w14:textId="77777777" w:rsidR="00CB74BD" w:rsidRPr="00CB74BD" w:rsidRDefault="00CB74BD" w:rsidP="00D0747A"/>
        </w:tc>
        <w:tc>
          <w:tcPr>
            <w:tcW w:w="576" w:type="dxa"/>
            <w:noWrap/>
          </w:tcPr>
          <w:p w14:paraId="7BB7E3C5" w14:textId="77777777" w:rsidR="00CB74BD" w:rsidRPr="00CB74BD" w:rsidRDefault="00CB74BD" w:rsidP="00D0747A"/>
        </w:tc>
        <w:tc>
          <w:tcPr>
            <w:tcW w:w="576" w:type="dxa"/>
            <w:noWrap/>
          </w:tcPr>
          <w:p w14:paraId="58A9F679" w14:textId="77777777" w:rsidR="00CB74BD" w:rsidRPr="00CB74BD" w:rsidRDefault="00CB74BD" w:rsidP="00D0747A"/>
        </w:tc>
        <w:tc>
          <w:tcPr>
            <w:tcW w:w="576" w:type="dxa"/>
            <w:noWrap/>
          </w:tcPr>
          <w:p w14:paraId="0B616E2E" w14:textId="77777777" w:rsidR="00CB74BD" w:rsidRPr="00CB74BD" w:rsidRDefault="00CB74BD" w:rsidP="00D0747A"/>
        </w:tc>
        <w:tc>
          <w:tcPr>
            <w:tcW w:w="576" w:type="dxa"/>
            <w:noWrap/>
          </w:tcPr>
          <w:p w14:paraId="33CC959B" w14:textId="77777777" w:rsidR="00CB74BD" w:rsidRPr="00CB74BD" w:rsidRDefault="00CB74BD" w:rsidP="00D0747A"/>
        </w:tc>
        <w:tc>
          <w:tcPr>
            <w:tcW w:w="576" w:type="dxa"/>
            <w:noWrap/>
          </w:tcPr>
          <w:p w14:paraId="4A942C4E" w14:textId="77777777" w:rsidR="00CB74BD" w:rsidRPr="00CB74BD" w:rsidRDefault="00CB74BD" w:rsidP="00D0747A"/>
        </w:tc>
        <w:tc>
          <w:tcPr>
            <w:tcW w:w="576" w:type="dxa"/>
            <w:noWrap/>
          </w:tcPr>
          <w:p w14:paraId="317493BD" w14:textId="77777777" w:rsidR="00CB74BD" w:rsidRPr="00CB74BD" w:rsidRDefault="00CB74BD" w:rsidP="00D0747A"/>
        </w:tc>
        <w:tc>
          <w:tcPr>
            <w:tcW w:w="576" w:type="dxa"/>
            <w:noWrap/>
          </w:tcPr>
          <w:p w14:paraId="6054869C" w14:textId="77777777" w:rsidR="00CB74BD" w:rsidRPr="00CB74BD" w:rsidRDefault="00CB74BD" w:rsidP="00D0747A"/>
        </w:tc>
      </w:tr>
      <w:tr w:rsidR="00CB74BD" w:rsidRPr="00CB74BD" w14:paraId="531D7AB4" w14:textId="77777777" w:rsidTr="004A3479">
        <w:trPr>
          <w:trHeight w:val="300"/>
          <w:jc w:val="center"/>
        </w:trPr>
        <w:tc>
          <w:tcPr>
            <w:tcW w:w="1007" w:type="dxa"/>
            <w:noWrap/>
          </w:tcPr>
          <w:p w14:paraId="5D3BDDB9" w14:textId="076ABAE2" w:rsidR="00CB74BD" w:rsidRPr="00CB74BD" w:rsidRDefault="00CB74BD" w:rsidP="00D0747A">
            <w:r w:rsidRPr="00CB74BD">
              <w:t>Feb-22</w:t>
            </w:r>
          </w:p>
        </w:tc>
        <w:tc>
          <w:tcPr>
            <w:tcW w:w="1099" w:type="dxa"/>
            <w:noWrap/>
          </w:tcPr>
          <w:p w14:paraId="5CB5E795" w14:textId="2490175E" w:rsidR="00CB74BD" w:rsidRPr="00CB74BD" w:rsidRDefault="00CB74BD" w:rsidP="00D0747A">
            <w:r w:rsidRPr="00CB74BD">
              <w:t>Q1 2022</w:t>
            </w:r>
          </w:p>
        </w:tc>
        <w:tc>
          <w:tcPr>
            <w:tcW w:w="3104" w:type="dxa"/>
            <w:noWrap/>
          </w:tcPr>
          <w:p w14:paraId="4982361D" w14:textId="46DD2B84" w:rsidR="00CB74BD" w:rsidRPr="00CB74BD" w:rsidRDefault="00CB74BD" w:rsidP="00D0747A">
            <w:r w:rsidRPr="00CB74BD">
              <w:t>Statewide active</w:t>
            </w:r>
          </w:p>
        </w:tc>
        <w:tc>
          <w:tcPr>
            <w:tcW w:w="576" w:type="dxa"/>
            <w:noWrap/>
          </w:tcPr>
          <w:p w14:paraId="2362E176" w14:textId="77777777" w:rsidR="00CB74BD" w:rsidRPr="00CB74BD" w:rsidRDefault="00CB74BD" w:rsidP="00D0747A"/>
        </w:tc>
        <w:tc>
          <w:tcPr>
            <w:tcW w:w="576" w:type="dxa"/>
            <w:noWrap/>
          </w:tcPr>
          <w:p w14:paraId="23702710" w14:textId="77777777" w:rsidR="00CB74BD" w:rsidRPr="00CB74BD" w:rsidRDefault="00CB74BD" w:rsidP="00D0747A"/>
        </w:tc>
        <w:tc>
          <w:tcPr>
            <w:tcW w:w="576" w:type="dxa"/>
            <w:noWrap/>
          </w:tcPr>
          <w:p w14:paraId="20975753" w14:textId="77777777" w:rsidR="00CB74BD" w:rsidRPr="00CB74BD" w:rsidRDefault="00CB74BD" w:rsidP="00D0747A"/>
        </w:tc>
        <w:tc>
          <w:tcPr>
            <w:tcW w:w="576" w:type="dxa"/>
            <w:noWrap/>
          </w:tcPr>
          <w:p w14:paraId="68FDBBB4" w14:textId="77777777" w:rsidR="00CB74BD" w:rsidRPr="00CB74BD" w:rsidRDefault="00CB74BD" w:rsidP="00D0747A"/>
        </w:tc>
        <w:tc>
          <w:tcPr>
            <w:tcW w:w="576" w:type="dxa"/>
            <w:noWrap/>
          </w:tcPr>
          <w:p w14:paraId="6916DD34" w14:textId="77777777" w:rsidR="00CB74BD" w:rsidRPr="00CB74BD" w:rsidRDefault="00CB74BD" w:rsidP="00D0747A"/>
        </w:tc>
        <w:tc>
          <w:tcPr>
            <w:tcW w:w="576" w:type="dxa"/>
            <w:noWrap/>
          </w:tcPr>
          <w:p w14:paraId="2D30F48D" w14:textId="77777777" w:rsidR="00CB74BD" w:rsidRPr="00CB74BD" w:rsidRDefault="00CB74BD" w:rsidP="00D0747A"/>
        </w:tc>
        <w:tc>
          <w:tcPr>
            <w:tcW w:w="576" w:type="dxa"/>
            <w:noWrap/>
          </w:tcPr>
          <w:p w14:paraId="4A2284D6" w14:textId="77777777" w:rsidR="00CB74BD" w:rsidRPr="00CB74BD" w:rsidRDefault="00CB74BD" w:rsidP="00D0747A"/>
        </w:tc>
        <w:tc>
          <w:tcPr>
            <w:tcW w:w="576" w:type="dxa"/>
            <w:noWrap/>
          </w:tcPr>
          <w:p w14:paraId="294EE7C0" w14:textId="77777777" w:rsidR="00CB74BD" w:rsidRPr="00CB74BD" w:rsidRDefault="00CB74BD" w:rsidP="00D0747A"/>
        </w:tc>
      </w:tr>
      <w:tr w:rsidR="00CB74BD" w:rsidRPr="00CB74BD" w14:paraId="5E85A45A" w14:textId="77777777" w:rsidTr="004A3479">
        <w:trPr>
          <w:trHeight w:val="300"/>
          <w:jc w:val="center"/>
        </w:trPr>
        <w:tc>
          <w:tcPr>
            <w:tcW w:w="1007" w:type="dxa"/>
            <w:noWrap/>
          </w:tcPr>
          <w:p w14:paraId="0C43E608" w14:textId="2DDB53E6" w:rsidR="00CB74BD" w:rsidRPr="00CB74BD" w:rsidRDefault="00CB74BD" w:rsidP="00D0747A">
            <w:r w:rsidRPr="00CB74BD">
              <w:t>Mar-22</w:t>
            </w:r>
          </w:p>
        </w:tc>
        <w:tc>
          <w:tcPr>
            <w:tcW w:w="1099" w:type="dxa"/>
            <w:noWrap/>
          </w:tcPr>
          <w:p w14:paraId="23DC8205" w14:textId="522E7C70" w:rsidR="00CB74BD" w:rsidRPr="00CB74BD" w:rsidRDefault="00CB74BD" w:rsidP="00D0747A">
            <w:r w:rsidRPr="00CB74BD">
              <w:t>Q1 2022</w:t>
            </w:r>
          </w:p>
        </w:tc>
        <w:tc>
          <w:tcPr>
            <w:tcW w:w="3104" w:type="dxa"/>
            <w:noWrap/>
          </w:tcPr>
          <w:p w14:paraId="5D74CDBC" w14:textId="5C68C561" w:rsidR="00CB74BD" w:rsidRPr="00CB74BD" w:rsidRDefault="00CB74BD" w:rsidP="00D0747A">
            <w:r w:rsidRPr="00CB74BD">
              <w:t>Statewide active</w:t>
            </w:r>
          </w:p>
        </w:tc>
        <w:tc>
          <w:tcPr>
            <w:tcW w:w="576" w:type="dxa"/>
            <w:noWrap/>
          </w:tcPr>
          <w:p w14:paraId="65058FEB" w14:textId="77777777" w:rsidR="00CB74BD" w:rsidRPr="00CB74BD" w:rsidRDefault="00CB74BD" w:rsidP="00D0747A"/>
        </w:tc>
        <w:tc>
          <w:tcPr>
            <w:tcW w:w="576" w:type="dxa"/>
            <w:noWrap/>
          </w:tcPr>
          <w:p w14:paraId="216F166B" w14:textId="77777777" w:rsidR="00CB74BD" w:rsidRPr="00CB74BD" w:rsidRDefault="00CB74BD" w:rsidP="00D0747A"/>
        </w:tc>
        <w:tc>
          <w:tcPr>
            <w:tcW w:w="576" w:type="dxa"/>
            <w:noWrap/>
          </w:tcPr>
          <w:p w14:paraId="3DBBDDDD" w14:textId="77777777" w:rsidR="00CB74BD" w:rsidRPr="00CB74BD" w:rsidRDefault="00CB74BD" w:rsidP="00D0747A"/>
        </w:tc>
        <w:tc>
          <w:tcPr>
            <w:tcW w:w="576" w:type="dxa"/>
            <w:noWrap/>
          </w:tcPr>
          <w:p w14:paraId="6B3B3CB3" w14:textId="77777777" w:rsidR="00CB74BD" w:rsidRPr="00CB74BD" w:rsidRDefault="00CB74BD" w:rsidP="00D0747A"/>
        </w:tc>
        <w:tc>
          <w:tcPr>
            <w:tcW w:w="576" w:type="dxa"/>
            <w:noWrap/>
          </w:tcPr>
          <w:p w14:paraId="5A94A1ED" w14:textId="77777777" w:rsidR="00CB74BD" w:rsidRPr="00CB74BD" w:rsidRDefault="00CB74BD" w:rsidP="00D0747A"/>
        </w:tc>
        <w:tc>
          <w:tcPr>
            <w:tcW w:w="576" w:type="dxa"/>
            <w:noWrap/>
          </w:tcPr>
          <w:p w14:paraId="1314E787" w14:textId="77777777" w:rsidR="00CB74BD" w:rsidRPr="00CB74BD" w:rsidRDefault="00CB74BD" w:rsidP="00D0747A"/>
        </w:tc>
        <w:tc>
          <w:tcPr>
            <w:tcW w:w="576" w:type="dxa"/>
            <w:noWrap/>
          </w:tcPr>
          <w:p w14:paraId="2402E522" w14:textId="77777777" w:rsidR="00CB74BD" w:rsidRPr="00CB74BD" w:rsidRDefault="00CB74BD" w:rsidP="00D0747A"/>
        </w:tc>
        <w:tc>
          <w:tcPr>
            <w:tcW w:w="576" w:type="dxa"/>
            <w:noWrap/>
          </w:tcPr>
          <w:p w14:paraId="1E1D20F2" w14:textId="77777777" w:rsidR="00CB74BD" w:rsidRPr="00CB74BD" w:rsidRDefault="00CB74BD" w:rsidP="00D0747A"/>
        </w:tc>
      </w:tr>
      <w:tr w:rsidR="00CB74BD" w:rsidRPr="00CB74BD" w14:paraId="5EEA8B5F" w14:textId="77777777" w:rsidTr="004A3479">
        <w:trPr>
          <w:trHeight w:val="300"/>
          <w:jc w:val="center"/>
        </w:trPr>
        <w:tc>
          <w:tcPr>
            <w:tcW w:w="1007" w:type="dxa"/>
            <w:noWrap/>
          </w:tcPr>
          <w:p w14:paraId="416E79C9" w14:textId="3A68FB45" w:rsidR="00CB74BD" w:rsidRPr="00CB74BD" w:rsidRDefault="00CB74BD" w:rsidP="00D0747A">
            <w:r w:rsidRPr="00CB74BD">
              <w:t>Apr-22</w:t>
            </w:r>
          </w:p>
        </w:tc>
        <w:tc>
          <w:tcPr>
            <w:tcW w:w="1099" w:type="dxa"/>
            <w:noWrap/>
          </w:tcPr>
          <w:p w14:paraId="4642F0A1" w14:textId="687C6885" w:rsidR="00CB74BD" w:rsidRPr="00CB74BD" w:rsidRDefault="00CB74BD" w:rsidP="00D0747A">
            <w:r w:rsidRPr="00CB74BD">
              <w:t>Q2 2022</w:t>
            </w:r>
          </w:p>
        </w:tc>
        <w:tc>
          <w:tcPr>
            <w:tcW w:w="3104" w:type="dxa"/>
            <w:noWrap/>
          </w:tcPr>
          <w:p w14:paraId="11163DD0" w14:textId="07C2AA16" w:rsidR="00CB74BD" w:rsidRPr="00CB74BD" w:rsidRDefault="00CB74BD" w:rsidP="00D0747A">
            <w:r w:rsidRPr="00CB74BD">
              <w:t>Statewide active</w:t>
            </w:r>
          </w:p>
        </w:tc>
        <w:tc>
          <w:tcPr>
            <w:tcW w:w="576" w:type="dxa"/>
            <w:noWrap/>
          </w:tcPr>
          <w:p w14:paraId="1D4E0891" w14:textId="77777777" w:rsidR="00CB74BD" w:rsidRPr="00CB74BD" w:rsidRDefault="00CB74BD" w:rsidP="00D0747A"/>
        </w:tc>
        <w:tc>
          <w:tcPr>
            <w:tcW w:w="576" w:type="dxa"/>
            <w:noWrap/>
          </w:tcPr>
          <w:p w14:paraId="55AB5866" w14:textId="77777777" w:rsidR="00CB74BD" w:rsidRPr="00CB74BD" w:rsidRDefault="00CB74BD" w:rsidP="00D0747A"/>
        </w:tc>
        <w:tc>
          <w:tcPr>
            <w:tcW w:w="576" w:type="dxa"/>
            <w:noWrap/>
          </w:tcPr>
          <w:p w14:paraId="296B23F6" w14:textId="77777777" w:rsidR="00CB74BD" w:rsidRPr="00CB74BD" w:rsidRDefault="00CB74BD" w:rsidP="00D0747A"/>
        </w:tc>
        <w:tc>
          <w:tcPr>
            <w:tcW w:w="576" w:type="dxa"/>
            <w:noWrap/>
          </w:tcPr>
          <w:p w14:paraId="0E4F6538" w14:textId="77777777" w:rsidR="00CB74BD" w:rsidRPr="00CB74BD" w:rsidRDefault="00CB74BD" w:rsidP="00D0747A"/>
        </w:tc>
        <w:tc>
          <w:tcPr>
            <w:tcW w:w="576" w:type="dxa"/>
            <w:noWrap/>
          </w:tcPr>
          <w:p w14:paraId="16EAC873" w14:textId="77777777" w:rsidR="00CB74BD" w:rsidRPr="00CB74BD" w:rsidRDefault="00CB74BD" w:rsidP="00D0747A"/>
        </w:tc>
        <w:tc>
          <w:tcPr>
            <w:tcW w:w="576" w:type="dxa"/>
            <w:noWrap/>
          </w:tcPr>
          <w:p w14:paraId="4818929B" w14:textId="77777777" w:rsidR="00CB74BD" w:rsidRPr="00CB74BD" w:rsidRDefault="00CB74BD" w:rsidP="00D0747A"/>
        </w:tc>
        <w:tc>
          <w:tcPr>
            <w:tcW w:w="576" w:type="dxa"/>
            <w:noWrap/>
          </w:tcPr>
          <w:p w14:paraId="71BD324D" w14:textId="77777777" w:rsidR="00CB74BD" w:rsidRPr="00CB74BD" w:rsidRDefault="00CB74BD" w:rsidP="00D0747A"/>
        </w:tc>
        <w:tc>
          <w:tcPr>
            <w:tcW w:w="576" w:type="dxa"/>
            <w:noWrap/>
          </w:tcPr>
          <w:p w14:paraId="023FA6B1" w14:textId="77777777" w:rsidR="00CB74BD" w:rsidRPr="00CB74BD" w:rsidRDefault="00CB74BD" w:rsidP="00D0747A"/>
        </w:tc>
      </w:tr>
      <w:tr w:rsidR="00CB74BD" w:rsidRPr="00CB74BD" w14:paraId="7915362C" w14:textId="77777777" w:rsidTr="004A3479">
        <w:trPr>
          <w:trHeight w:val="300"/>
          <w:jc w:val="center"/>
        </w:trPr>
        <w:tc>
          <w:tcPr>
            <w:tcW w:w="1007" w:type="dxa"/>
            <w:noWrap/>
          </w:tcPr>
          <w:p w14:paraId="5B8C0509" w14:textId="5203B375" w:rsidR="00CB74BD" w:rsidRPr="00CB74BD" w:rsidRDefault="00CB74BD" w:rsidP="00D0747A">
            <w:r w:rsidRPr="00CB74BD">
              <w:t>May-22</w:t>
            </w:r>
          </w:p>
        </w:tc>
        <w:tc>
          <w:tcPr>
            <w:tcW w:w="1099" w:type="dxa"/>
            <w:noWrap/>
          </w:tcPr>
          <w:p w14:paraId="25AA0250" w14:textId="73086272" w:rsidR="00CB74BD" w:rsidRPr="00CB74BD" w:rsidRDefault="00CB74BD" w:rsidP="00D0747A">
            <w:r w:rsidRPr="00CB74BD">
              <w:t>Q2 2022</w:t>
            </w:r>
          </w:p>
        </w:tc>
        <w:tc>
          <w:tcPr>
            <w:tcW w:w="3104" w:type="dxa"/>
            <w:noWrap/>
          </w:tcPr>
          <w:p w14:paraId="06277AF4" w14:textId="23B5B28A" w:rsidR="00CB74BD" w:rsidRPr="00CB74BD" w:rsidRDefault="00CB74BD" w:rsidP="00D0747A">
            <w:r w:rsidRPr="00CB74BD">
              <w:t>Statewide active</w:t>
            </w:r>
          </w:p>
        </w:tc>
        <w:tc>
          <w:tcPr>
            <w:tcW w:w="576" w:type="dxa"/>
            <w:noWrap/>
          </w:tcPr>
          <w:p w14:paraId="33A4857C" w14:textId="77777777" w:rsidR="00CB74BD" w:rsidRPr="00CB74BD" w:rsidRDefault="00CB74BD" w:rsidP="00D0747A"/>
        </w:tc>
        <w:tc>
          <w:tcPr>
            <w:tcW w:w="576" w:type="dxa"/>
            <w:noWrap/>
          </w:tcPr>
          <w:p w14:paraId="49A1AB48" w14:textId="77777777" w:rsidR="00CB74BD" w:rsidRPr="00CB74BD" w:rsidRDefault="00CB74BD" w:rsidP="00D0747A"/>
        </w:tc>
        <w:tc>
          <w:tcPr>
            <w:tcW w:w="576" w:type="dxa"/>
            <w:noWrap/>
          </w:tcPr>
          <w:p w14:paraId="5A34BCB3" w14:textId="77777777" w:rsidR="00CB74BD" w:rsidRPr="00CB74BD" w:rsidRDefault="00CB74BD" w:rsidP="00D0747A"/>
        </w:tc>
        <w:tc>
          <w:tcPr>
            <w:tcW w:w="576" w:type="dxa"/>
            <w:noWrap/>
          </w:tcPr>
          <w:p w14:paraId="34380D2C" w14:textId="77777777" w:rsidR="00CB74BD" w:rsidRPr="00CB74BD" w:rsidRDefault="00CB74BD" w:rsidP="00D0747A"/>
        </w:tc>
        <w:tc>
          <w:tcPr>
            <w:tcW w:w="576" w:type="dxa"/>
            <w:noWrap/>
          </w:tcPr>
          <w:p w14:paraId="655E2B45" w14:textId="77777777" w:rsidR="00CB74BD" w:rsidRPr="00CB74BD" w:rsidRDefault="00CB74BD" w:rsidP="00D0747A"/>
        </w:tc>
        <w:tc>
          <w:tcPr>
            <w:tcW w:w="576" w:type="dxa"/>
            <w:noWrap/>
          </w:tcPr>
          <w:p w14:paraId="68AEF18C" w14:textId="77777777" w:rsidR="00CB74BD" w:rsidRPr="00CB74BD" w:rsidRDefault="00CB74BD" w:rsidP="00D0747A"/>
        </w:tc>
        <w:tc>
          <w:tcPr>
            <w:tcW w:w="576" w:type="dxa"/>
            <w:noWrap/>
          </w:tcPr>
          <w:p w14:paraId="1A756EE3" w14:textId="77777777" w:rsidR="00CB74BD" w:rsidRPr="00CB74BD" w:rsidRDefault="00CB74BD" w:rsidP="00D0747A"/>
        </w:tc>
        <w:tc>
          <w:tcPr>
            <w:tcW w:w="576" w:type="dxa"/>
            <w:noWrap/>
          </w:tcPr>
          <w:p w14:paraId="262BCAF1" w14:textId="77777777" w:rsidR="00CB74BD" w:rsidRPr="00CB74BD" w:rsidRDefault="00CB74BD" w:rsidP="00D0747A"/>
        </w:tc>
      </w:tr>
      <w:tr w:rsidR="00CB74BD" w:rsidRPr="00CB74BD" w14:paraId="25A02F68" w14:textId="77777777" w:rsidTr="004A3479">
        <w:trPr>
          <w:trHeight w:val="300"/>
          <w:jc w:val="center"/>
        </w:trPr>
        <w:tc>
          <w:tcPr>
            <w:tcW w:w="1007" w:type="dxa"/>
            <w:noWrap/>
          </w:tcPr>
          <w:p w14:paraId="108DD3F1" w14:textId="0C8F2D2E" w:rsidR="00CB74BD" w:rsidRPr="00CB74BD" w:rsidRDefault="00CB74BD" w:rsidP="00D0747A">
            <w:r w:rsidRPr="00CB74BD">
              <w:t>Jun-22</w:t>
            </w:r>
          </w:p>
        </w:tc>
        <w:tc>
          <w:tcPr>
            <w:tcW w:w="1099" w:type="dxa"/>
            <w:noWrap/>
          </w:tcPr>
          <w:p w14:paraId="2C088AD6" w14:textId="6BC4F767" w:rsidR="00CB74BD" w:rsidRPr="00CB74BD" w:rsidRDefault="00CB74BD" w:rsidP="00D0747A">
            <w:r w:rsidRPr="00CB74BD">
              <w:t>Q2 2022</w:t>
            </w:r>
          </w:p>
        </w:tc>
        <w:tc>
          <w:tcPr>
            <w:tcW w:w="3104" w:type="dxa"/>
            <w:noWrap/>
          </w:tcPr>
          <w:p w14:paraId="5EC2F5C1" w14:textId="7E54255F" w:rsidR="00CB74BD" w:rsidRPr="00CB74BD" w:rsidRDefault="00CB74BD" w:rsidP="00D0747A">
            <w:r w:rsidRPr="00CB74BD">
              <w:t>Statewide active</w:t>
            </w:r>
          </w:p>
        </w:tc>
        <w:tc>
          <w:tcPr>
            <w:tcW w:w="576" w:type="dxa"/>
            <w:noWrap/>
          </w:tcPr>
          <w:p w14:paraId="785AC7EC" w14:textId="77777777" w:rsidR="00CB74BD" w:rsidRPr="00CB74BD" w:rsidRDefault="00CB74BD" w:rsidP="00D0747A"/>
        </w:tc>
        <w:tc>
          <w:tcPr>
            <w:tcW w:w="576" w:type="dxa"/>
            <w:noWrap/>
          </w:tcPr>
          <w:p w14:paraId="4DB4AEA1" w14:textId="77777777" w:rsidR="00CB74BD" w:rsidRPr="00CB74BD" w:rsidRDefault="00CB74BD" w:rsidP="00D0747A"/>
        </w:tc>
        <w:tc>
          <w:tcPr>
            <w:tcW w:w="576" w:type="dxa"/>
            <w:noWrap/>
          </w:tcPr>
          <w:p w14:paraId="279C471B" w14:textId="77777777" w:rsidR="00CB74BD" w:rsidRPr="00CB74BD" w:rsidRDefault="00CB74BD" w:rsidP="00D0747A"/>
        </w:tc>
        <w:tc>
          <w:tcPr>
            <w:tcW w:w="576" w:type="dxa"/>
            <w:noWrap/>
          </w:tcPr>
          <w:p w14:paraId="3160B0E0" w14:textId="77777777" w:rsidR="00CB74BD" w:rsidRPr="00CB74BD" w:rsidRDefault="00CB74BD" w:rsidP="00D0747A"/>
        </w:tc>
        <w:tc>
          <w:tcPr>
            <w:tcW w:w="576" w:type="dxa"/>
            <w:noWrap/>
          </w:tcPr>
          <w:p w14:paraId="656E4196" w14:textId="77777777" w:rsidR="00CB74BD" w:rsidRPr="00CB74BD" w:rsidRDefault="00CB74BD" w:rsidP="00D0747A"/>
        </w:tc>
        <w:tc>
          <w:tcPr>
            <w:tcW w:w="576" w:type="dxa"/>
            <w:noWrap/>
          </w:tcPr>
          <w:p w14:paraId="51D70AE2" w14:textId="77777777" w:rsidR="00CB74BD" w:rsidRPr="00CB74BD" w:rsidRDefault="00CB74BD" w:rsidP="00D0747A"/>
        </w:tc>
        <w:tc>
          <w:tcPr>
            <w:tcW w:w="576" w:type="dxa"/>
            <w:noWrap/>
          </w:tcPr>
          <w:p w14:paraId="41C94F73" w14:textId="77777777" w:rsidR="00CB74BD" w:rsidRPr="00CB74BD" w:rsidRDefault="00CB74BD" w:rsidP="00D0747A"/>
        </w:tc>
        <w:tc>
          <w:tcPr>
            <w:tcW w:w="576" w:type="dxa"/>
            <w:noWrap/>
          </w:tcPr>
          <w:p w14:paraId="62F9D654" w14:textId="77777777" w:rsidR="00CB74BD" w:rsidRPr="00CB74BD" w:rsidRDefault="00CB74BD" w:rsidP="00D0747A"/>
        </w:tc>
      </w:tr>
      <w:tr w:rsidR="00CB74BD" w:rsidRPr="00CB74BD" w14:paraId="0AF44ED1" w14:textId="77777777" w:rsidTr="004A3479">
        <w:trPr>
          <w:trHeight w:val="300"/>
          <w:jc w:val="center"/>
        </w:trPr>
        <w:tc>
          <w:tcPr>
            <w:tcW w:w="1007" w:type="dxa"/>
            <w:noWrap/>
          </w:tcPr>
          <w:p w14:paraId="0108DD83" w14:textId="7D2AB08F" w:rsidR="00CB74BD" w:rsidRPr="00CB74BD" w:rsidRDefault="00CB74BD" w:rsidP="00D0747A">
            <w:r w:rsidRPr="00CB74BD">
              <w:t>Jul-22</w:t>
            </w:r>
          </w:p>
        </w:tc>
        <w:tc>
          <w:tcPr>
            <w:tcW w:w="1099" w:type="dxa"/>
            <w:noWrap/>
          </w:tcPr>
          <w:p w14:paraId="4C26A0D6" w14:textId="69C45250" w:rsidR="00CB74BD" w:rsidRPr="00CB74BD" w:rsidRDefault="00CB74BD" w:rsidP="00D0747A">
            <w:r w:rsidRPr="00CB74BD">
              <w:t>Q3 2022</w:t>
            </w:r>
          </w:p>
        </w:tc>
        <w:tc>
          <w:tcPr>
            <w:tcW w:w="3104" w:type="dxa"/>
            <w:noWrap/>
          </w:tcPr>
          <w:p w14:paraId="00F51F11" w14:textId="2B96A45A" w:rsidR="00CB74BD" w:rsidRPr="00CB74BD" w:rsidRDefault="00CB74BD" w:rsidP="00D0747A">
            <w:r w:rsidRPr="00CB74BD">
              <w:t>Statewide active</w:t>
            </w:r>
          </w:p>
        </w:tc>
        <w:tc>
          <w:tcPr>
            <w:tcW w:w="576" w:type="dxa"/>
            <w:noWrap/>
          </w:tcPr>
          <w:p w14:paraId="56B58EA4" w14:textId="77777777" w:rsidR="00CB74BD" w:rsidRPr="00CB74BD" w:rsidRDefault="00CB74BD" w:rsidP="00D0747A"/>
        </w:tc>
        <w:tc>
          <w:tcPr>
            <w:tcW w:w="576" w:type="dxa"/>
            <w:noWrap/>
          </w:tcPr>
          <w:p w14:paraId="0E2DFDA7" w14:textId="77777777" w:rsidR="00CB74BD" w:rsidRPr="00CB74BD" w:rsidRDefault="00CB74BD" w:rsidP="00D0747A"/>
        </w:tc>
        <w:tc>
          <w:tcPr>
            <w:tcW w:w="576" w:type="dxa"/>
            <w:noWrap/>
          </w:tcPr>
          <w:p w14:paraId="1568A6F8" w14:textId="77777777" w:rsidR="00CB74BD" w:rsidRPr="00CB74BD" w:rsidRDefault="00CB74BD" w:rsidP="00D0747A"/>
        </w:tc>
        <w:tc>
          <w:tcPr>
            <w:tcW w:w="576" w:type="dxa"/>
            <w:noWrap/>
          </w:tcPr>
          <w:p w14:paraId="6ADA2D84" w14:textId="77777777" w:rsidR="00CB74BD" w:rsidRPr="00CB74BD" w:rsidRDefault="00CB74BD" w:rsidP="00D0747A"/>
        </w:tc>
        <w:tc>
          <w:tcPr>
            <w:tcW w:w="576" w:type="dxa"/>
            <w:noWrap/>
          </w:tcPr>
          <w:p w14:paraId="4F110E59" w14:textId="77777777" w:rsidR="00CB74BD" w:rsidRPr="00CB74BD" w:rsidRDefault="00CB74BD" w:rsidP="00D0747A"/>
        </w:tc>
        <w:tc>
          <w:tcPr>
            <w:tcW w:w="576" w:type="dxa"/>
            <w:noWrap/>
          </w:tcPr>
          <w:p w14:paraId="5C604DAA" w14:textId="77777777" w:rsidR="00CB74BD" w:rsidRPr="00CB74BD" w:rsidRDefault="00CB74BD" w:rsidP="00D0747A"/>
        </w:tc>
        <w:tc>
          <w:tcPr>
            <w:tcW w:w="576" w:type="dxa"/>
            <w:noWrap/>
          </w:tcPr>
          <w:p w14:paraId="75904AB8" w14:textId="77777777" w:rsidR="00CB74BD" w:rsidRPr="00CB74BD" w:rsidRDefault="00CB74BD" w:rsidP="00D0747A"/>
        </w:tc>
        <w:tc>
          <w:tcPr>
            <w:tcW w:w="576" w:type="dxa"/>
            <w:noWrap/>
          </w:tcPr>
          <w:p w14:paraId="3B8F7E7D" w14:textId="77777777" w:rsidR="00CB74BD" w:rsidRPr="00CB74BD" w:rsidRDefault="00CB74BD" w:rsidP="00D0747A"/>
        </w:tc>
      </w:tr>
      <w:tr w:rsidR="00CB74BD" w:rsidRPr="00CB74BD" w14:paraId="6956ECCD" w14:textId="77777777" w:rsidTr="004A3479">
        <w:trPr>
          <w:trHeight w:val="300"/>
          <w:jc w:val="center"/>
        </w:trPr>
        <w:tc>
          <w:tcPr>
            <w:tcW w:w="1007" w:type="dxa"/>
            <w:noWrap/>
          </w:tcPr>
          <w:p w14:paraId="31E1F7C8" w14:textId="4D2BC9A4" w:rsidR="00CB74BD" w:rsidRPr="00CB74BD" w:rsidRDefault="00CB74BD" w:rsidP="00D0747A">
            <w:r w:rsidRPr="00CB74BD">
              <w:t>Aug-22</w:t>
            </w:r>
          </w:p>
        </w:tc>
        <w:tc>
          <w:tcPr>
            <w:tcW w:w="1099" w:type="dxa"/>
            <w:noWrap/>
          </w:tcPr>
          <w:p w14:paraId="44EB7644" w14:textId="23E37438" w:rsidR="00CB74BD" w:rsidRPr="00CB74BD" w:rsidRDefault="00CB74BD" w:rsidP="00D0747A">
            <w:r w:rsidRPr="00CB74BD">
              <w:t>Q3 2022</w:t>
            </w:r>
          </w:p>
        </w:tc>
        <w:tc>
          <w:tcPr>
            <w:tcW w:w="3104" w:type="dxa"/>
            <w:noWrap/>
          </w:tcPr>
          <w:p w14:paraId="1824FAE7" w14:textId="67EE4170" w:rsidR="00CB74BD" w:rsidRPr="00CB74BD" w:rsidRDefault="00CB74BD" w:rsidP="00D0747A">
            <w:r w:rsidRPr="00CB74BD">
              <w:t>Statewide active</w:t>
            </w:r>
          </w:p>
        </w:tc>
        <w:tc>
          <w:tcPr>
            <w:tcW w:w="576" w:type="dxa"/>
            <w:noWrap/>
          </w:tcPr>
          <w:p w14:paraId="5DBA2E7B" w14:textId="77777777" w:rsidR="00CB74BD" w:rsidRPr="00CB74BD" w:rsidRDefault="00CB74BD" w:rsidP="00D0747A"/>
        </w:tc>
        <w:tc>
          <w:tcPr>
            <w:tcW w:w="576" w:type="dxa"/>
            <w:noWrap/>
          </w:tcPr>
          <w:p w14:paraId="4A961839" w14:textId="77777777" w:rsidR="00CB74BD" w:rsidRPr="00CB74BD" w:rsidRDefault="00CB74BD" w:rsidP="00D0747A"/>
        </w:tc>
        <w:tc>
          <w:tcPr>
            <w:tcW w:w="576" w:type="dxa"/>
            <w:noWrap/>
          </w:tcPr>
          <w:p w14:paraId="7B2C1FFD" w14:textId="77777777" w:rsidR="00CB74BD" w:rsidRPr="00CB74BD" w:rsidRDefault="00CB74BD" w:rsidP="00D0747A"/>
        </w:tc>
        <w:tc>
          <w:tcPr>
            <w:tcW w:w="576" w:type="dxa"/>
            <w:noWrap/>
          </w:tcPr>
          <w:p w14:paraId="66D43295" w14:textId="77777777" w:rsidR="00CB74BD" w:rsidRPr="00CB74BD" w:rsidRDefault="00CB74BD" w:rsidP="00D0747A"/>
        </w:tc>
        <w:tc>
          <w:tcPr>
            <w:tcW w:w="576" w:type="dxa"/>
            <w:noWrap/>
          </w:tcPr>
          <w:p w14:paraId="75A559C3" w14:textId="77777777" w:rsidR="00CB74BD" w:rsidRPr="00CB74BD" w:rsidRDefault="00CB74BD" w:rsidP="00D0747A"/>
        </w:tc>
        <w:tc>
          <w:tcPr>
            <w:tcW w:w="576" w:type="dxa"/>
            <w:noWrap/>
          </w:tcPr>
          <w:p w14:paraId="637193A9" w14:textId="77777777" w:rsidR="00CB74BD" w:rsidRPr="00CB74BD" w:rsidRDefault="00CB74BD" w:rsidP="00D0747A"/>
        </w:tc>
        <w:tc>
          <w:tcPr>
            <w:tcW w:w="576" w:type="dxa"/>
            <w:noWrap/>
          </w:tcPr>
          <w:p w14:paraId="173AA41F" w14:textId="77777777" w:rsidR="00CB74BD" w:rsidRPr="00CB74BD" w:rsidRDefault="00CB74BD" w:rsidP="00D0747A"/>
        </w:tc>
        <w:tc>
          <w:tcPr>
            <w:tcW w:w="576" w:type="dxa"/>
            <w:noWrap/>
          </w:tcPr>
          <w:p w14:paraId="3FB6F80D" w14:textId="77777777" w:rsidR="00CB74BD" w:rsidRPr="00CB74BD" w:rsidRDefault="00CB74BD" w:rsidP="00D0747A"/>
        </w:tc>
      </w:tr>
      <w:tr w:rsidR="00CB74BD" w:rsidRPr="00CB74BD" w14:paraId="2DBD1A64" w14:textId="77777777" w:rsidTr="004A3479">
        <w:trPr>
          <w:trHeight w:val="300"/>
          <w:jc w:val="center"/>
        </w:trPr>
        <w:tc>
          <w:tcPr>
            <w:tcW w:w="1007" w:type="dxa"/>
            <w:noWrap/>
          </w:tcPr>
          <w:p w14:paraId="28040637" w14:textId="3A514F43" w:rsidR="00CB74BD" w:rsidRPr="00CB74BD" w:rsidRDefault="00CB74BD" w:rsidP="00D0747A">
            <w:r w:rsidRPr="00CB74BD">
              <w:t>Sep-22</w:t>
            </w:r>
          </w:p>
        </w:tc>
        <w:tc>
          <w:tcPr>
            <w:tcW w:w="1099" w:type="dxa"/>
            <w:noWrap/>
          </w:tcPr>
          <w:p w14:paraId="3D6F4106" w14:textId="5C5A948E" w:rsidR="00CB74BD" w:rsidRPr="00CB74BD" w:rsidRDefault="00CB74BD" w:rsidP="00D0747A">
            <w:r w:rsidRPr="00CB74BD">
              <w:t>Q3 2022</w:t>
            </w:r>
          </w:p>
        </w:tc>
        <w:tc>
          <w:tcPr>
            <w:tcW w:w="3104" w:type="dxa"/>
            <w:noWrap/>
          </w:tcPr>
          <w:p w14:paraId="701E633C" w14:textId="1A01F5E9" w:rsidR="00CB74BD" w:rsidRPr="00CB74BD" w:rsidRDefault="00CB74BD" w:rsidP="00D0747A">
            <w:r w:rsidRPr="00CB74BD">
              <w:t>Statewide active</w:t>
            </w:r>
          </w:p>
        </w:tc>
        <w:tc>
          <w:tcPr>
            <w:tcW w:w="576" w:type="dxa"/>
            <w:noWrap/>
          </w:tcPr>
          <w:p w14:paraId="58D1EFC1" w14:textId="77777777" w:rsidR="00CB74BD" w:rsidRPr="00CB74BD" w:rsidRDefault="00CB74BD" w:rsidP="00D0747A"/>
        </w:tc>
        <w:tc>
          <w:tcPr>
            <w:tcW w:w="576" w:type="dxa"/>
            <w:noWrap/>
          </w:tcPr>
          <w:p w14:paraId="08E79BCE" w14:textId="77777777" w:rsidR="00CB74BD" w:rsidRPr="00CB74BD" w:rsidRDefault="00CB74BD" w:rsidP="00D0747A"/>
        </w:tc>
        <w:tc>
          <w:tcPr>
            <w:tcW w:w="576" w:type="dxa"/>
            <w:noWrap/>
          </w:tcPr>
          <w:p w14:paraId="3850D566" w14:textId="77777777" w:rsidR="00CB74BD" w:rsidRPr="00CB74BD" w:rsidRDefault="00CB74BD" w:rsidP="00D0747A"/>
        </w:tc>
        <w:tc>
          <w:tcPr>
            <w:tcW w:w="576" w:type="dxa"/>
            <w:noWrap/>
          </w:tcPr>
          <w:p w14:paraId="1017804D" w14:textId="77777777" w:rsidR="00CB74BD" w:rsidRPr="00CB74BD" w:rsidRDefault="00CB74BD" w:rsidP="00D0747A"/>
        </w:tc>
        <w:tc>
          <w:tcPr>
            <w:tcW w:w="576" w:type="dxa"/>
            <w:noWrap/>
          </w:tcPr>
          <w:p w14:paraId="70A1C011" w14:textId="77777777" w:rsidR="00CB74BD" w:rsidRPr="00CB74BD" w:rsidRDefault="00CB74BD" w:rsidP="00D0747A"/>
        </w:tc>
        <w:tc>
          <w:tcPr>
            <w:tcW w:w="576" w:type="dxa"/>
            <w:noWrap/>
          </w:tcPr>
          <w:p w14:paraId="085251ED" w14:textId="77777777" w:rsidR="00CB74BD" w:rsidRPr="00CB74BD" w:rsidRDefault="00CB74BD" w:rsidP="00D0747A"/>
        </w:tc>
        <w:tc>
          <w:tcPr>
            <w:tcW w:w="576" w:type="dxa"/>
            <w:noWrap/>
          </w:tcPr>
          <w:p w14:paraId="591DAD6A" w14:textId="77777777" w:rsidR="00CB74BD" w:rsidRPr="00CB74BD" w:rsidRDefault="00CB74BD" w:rsidP="00D0747A"/>
        </w:tc>
        <w:tc>
          <w:tcPr>
            <w:tcW w:w="576" w:type="dxa"/>
            <w:noWrap/>
          </w:tcPr>
          <w:p w14:paraId="62929DD0" w14:textId="77777777" w:rsidR="00CB74BD" w:rsidRPr="00CB74BD" w:rsidRDefault="00CB74BD" w:rsidP="00D0747A"/>
        </w:tc>
      </w:tr>
      <w:tr w:rsidR="00CB74BD" w:rsidRPr="00CB74BD" w14:paraId="4C47DF91" w14:textId="77777777" w:rsidTr="004A3479">
        <w:trPr>
          <w:trHeight w:val="300"/>
          <w:jc w:val="center"/>
        </w:trPr>
        <w:tc>
          <w:tcPr>
            <w:tcW w:w="1007" w:type="dxa"/>
            <w:noWrap/>
          </w:tcPr>
          <w:p w14:paraId="1CD346A6" w14:textId="5843BBD1" w:rsidR="00CB74BD" w:rsidRPr="00CB74BD" w:rsidRDefault="00CB74BD" w:rsidP="00D0747A">
            <w:r w:rsidRPr="00CB74BD">
              <w:t>Oct-22</w:t>
            </w:r>
          </w:p>
        </w:tc>
        <w:tc>
          <w:tcPr>
            <w:tcW w:w="1099" w:type="dxa"/>
            <w:noWrap/>
          </w:tcPr>
          <w:p w14:paraId="704A0CCB" w14:textId="39892867" w:rsidR="00CB74BD" w:rsidRPr="00CB74BD" w:rsidRDefault="00CB74BD" w:rsidP="00D0747A">
            <w:r w:rsidRPr="00CB74BD">
              <w:t>Q4 2022</w:t>
            </w:r>
          </w:p>
        </w:tc>
        <w:tc>
          <w:tcPr>
            <w:tcW w:w="3104" w:type="dxa"/>
            <w:noWrap/>
          </w:tcPr>
          <w:p w14:paraId="63D9B451" w14:textId="5DDFCB56" w:rsidR="00CB74BD" w:rsidRPr="00CB74BD" w:rsidRDefault="00CB74BD" w:rsidP="00D0747A">
            <w:r w:rsidRPr="00CB74BD">
              <w:t>Statewide active</w:t>
            </w:r>
          </w:p>
        </w:tc>
        <w:tc>
          <w:tcPr>
            <w:tcW w:w="576" w:type="dxa"/>
            <w:noWrap/>
          </w:tcPr>
          <w:p w14:paraId="31E768E9" w14:textId="77777777" w:rsidR="00CB74BD" w:rsidRPr="00CB74BD" w:rsidRDefault="00CB74BD" w:rsidP="00D0747A"/>
        </w:tc>
        <w:tc>
          <w:tcPr>
            <w:tcW w:w="576" w:type="dxa"/>
            <w:noWrap/>
          </w:tcPr>
          <w:p w14:paraId="15B07230" w14:textId="77777777" w:rsidR="00CB74BD" w:rsidRPr="00CB74BD" w:rsidRDefault="00CB74BD" w:rsidP="00D0747A"/>
        </w:tc>
        <w:tc>
          <w:tcPr>
            <w:tcW w:w="576" w:type="dxa"/>
            <w:noWrap/>
          </w:tcPr>
          <w:p w14:paraId="2D19501D" w14:textId="77777777" w:rsidR="00CB74BD" w:rsidRPr="00CB74BD" w:rsidRDefault="00CB74BD" w:rsidP="00D0747A"/>
        </w:tc>
        <w:tc>
          <w:tcPr>
            <w:tcW w:w="576" w:type="dxa"/>
            <w:noWrap/>
          </w:tcPr>
          <w:p w14:paraId="3F23369C" w14:textId="77777777" w:rsidR="00CB74BD" w:rsidRPr="00CB74BD" w:rsidRDefault="00CB74BD" w:rsidP="00D0747A"/>
        </w:tc>
        <w:tc>
          <w:tcPr>
            <w:tcW w:w="576" w:type="dxa"/>
            <w:noWrap/>
          </w:tcPr>
          <w:p w14:paraId="44F2E2DA" w14:textId="77777777" w:rsidR="00CB74BD" w:rsidRPr="00CB74BD" w:rsidRDefault="00CB74BD" w:rsidP="00D0747A"/>
        </w:tc>
        <w:tc>
          <w:tcPr>
            <w:tcW w:w="576" w:type="dxa"/>
            <w:noWrap/>
          </w:tcPr>
          <w:p w14:paraId="34F5996A" w14:textId="77777777" w:rsidR="00CB74BD" w:rsidRPr="00CB74BD" w:rsidRDefault="00CB74BD" w:rsidP="00D0747A"/>
        </w:tc>
        <w:tc>
          <w:tcPr>
            <w:tcW w:w="576" w:type="dxa"/>
            <w:noWrap/>
          </w:tcPr>
          <w:p w14:paraId="4D0B57A4" w14:textId="77777777" w:rsidR="00CB74BD" w:rsidRPr="00CB74BD" w:rsidRDefault="00CB74BD" w:rsidP="00D0747A"/>
        </w:tc>
        <w:tc>
          <w:tcPr>
            <w:tcW w:w="576" w:type="dxa"/>
            <w:noWrap/>
          </w:tcPr>
          <w:p w14:paraId="472E0A24" w14:textId="77777777" w:rsidR="00CB74BD" w:rsidRPr="00CB74BD" w:rsidRDefault="00CB74BD" w:rsidP="00D0747A"/>
        </w:tc>
      </w:tr>
      <w:tr w:rsidR="00CB74BD" w:rsidRPr="00CB74BD" w14:paraId="52C7F369" w14:textId="77777777" w:rsidTr="004A3479">
        <w:trPr>
          <w:trHeight w:val="300"/>
          <w:jc w:val="center"/>
        </w:trPr>
        <w:tc>
          <w:tcPr>
            <w:tcW w:w="1007" w:type="dxa"/>
            <w:noWrap/>
          </w:tcPr>
          <w:p w14:paraId="54D693D3" w14:textId="6D888CDD" w:rsidR="00CB74BD" w:rsidRPr="00CB74BD" w:rsidRDefault="00CB74BD" w:rsidP="00D0747A">
            <w:r w:rsidRPr="00CB74BD">
              <w:t>Nov-22</w:t>
            </w:r>
          </w:p>
        </w:tc>
        <w:tc>
          <w:tcPr>
            <w:tcW w:w="1099" w:type="dxa"/>
            <w:noWrap/>
          </w:tcPr>
          <w:p w14:paraId="46F1E7CF" w14:textId="2A90E655" w:rsidR="00CB74BD" w:rsidRPr="00CB74BD" w:rsidRDefault="00CB74BD" w:rsidP="00D0747A">
            <w:r w:rsidRPr="00CB74BD">
              <w:t>Q4 2022</w:t>
            </w:r>
          </w:p>
        </w:tc>
        <w:tc>
          <w:tcPr>
            <w:tcW w:w="3104" w:type="dxa"/>
            <w:noWrap/>
          </w:tcPr>
          <w:p w14:paraId="4956C817" w14:textId="13E12206" w:rsidR="00CB74BD" w:rsidRPr="00CB74BD" w:rsidRDefault="00CB74BD" w:rsidP="00D0747A">
            <w:r w:rsidRPr="00CB74BD">
              <w:t>Statewide active</w:t>
            </w:r>
          </w:p>
        </w:tc>
        <w:tc>
          <w:tcPr>
            <w:tcW w:w="576" w:type="dxa"/>
            <w:noWrap/>
          </w:tcPr>
          <w:p w14:paraId="2146F6AB" w14:textId="77777777" w:rsidR="00CB74BD" w:rsidRPr="00CB74BD" w:rsidRDefault="00CB74BD" w:rsidP="00D0747A"/>
        </w:tc>
        <w:tc>
          <w:tcPr>
            <w:tcW w:w="576" w:type="dxa"/>
            <w:noWrap/>
          </w:tcPr>
          <w:p w14:paraId="3A71CF92" w14:textId="77777777" w:rsidR="00CB74BD" w:rsidRPr="00CB74BD" w:rsidRDefault="00CB74BD" w:rsidP="00D0747A"/>
        </w:tc>
        <w:tc>
          <w:tcPr>
            <w:tcW w:w="576" w:type="dxa"/>
            <w:noWrap/>
          </w:tcPr>
          <w:p w14:paraId="3B34D886" w14:textId="77777777" w:rsidR="00CB74BD" w:rsidRPr="00CB74BD" w:rsidRDefault="00CB74BD" w:rsidP="00D0747A"/>
        </w:tc>
        <w:tc>
          <w:tcPr>
            <w:tcW w:w="576" w:type="dxa"/>
            <w:noWrap/>
          </w:tcPr>
          <w:p w14:paraId="75636744" w14:textId="77777777" w:rsidR="00CB74BD" w:rsidRPr="00CB74BD" w:rsidRDefault="00CB74BD" w:rsidP="00D0747A"/>
        </w:tc>
        <w:tc>
          <w:tcPr>
            <w:tcW w:w="576" w:type="dxa"/>
            <w:noWrap/>
          </w:tcPr>
          <w:p w14:paraId="017D8CB3" w14:textId="77777777" w:rsidR="00CB74BD" w:rsidRPr="00CB74BD" w:rsidRDefault="00CB74BD" w:rsidP="00D0747A"/>
        </w:tc>
        <w:tc>
          <w:tcPr>
            <w:tcW w:w="576" w:type="dxa"/>
            <w:noWrap/>
          </w:tcPr>
          <w:p w14:paraId="488B5F35" w14:textId="77777777" w:rsidR="00CB74BD" w:rsidRPr="00CB74BD" w:rsidRDefault="00CB74BD" w:rsidP="00D0747A"/>
        </w:tc>
        <w:tc>
          <w:tcPr>
            <w:tcW w:w="576" w:type="dxa"/>
            <w:noWrap/>
          </w:tcPr>
          <w:p w14:paraId="25D0463B" w14:textId="77777777" w:rsidR="00CB74BD" w:rsidRPr="00CB74BD" w:rsidRDefault="00CB74BD" w:rsidP="00D0747A"/>
        </w:tc>
        <w:tc>
          <w:tcPr>
            <w:tcW w:w="576" w:type="dxa"/>
            <w:noWrap/>
          </w:tcPr>
          <w:p w14:paraId="4222F96F" w14:textId="77777777" w:rsidR="00CB74BD" w:rsidRPr="00CB74BD" w:rsidRDefault="00CB74BD" w:rsidP="00D0747A"/>
        </w:tc>
      </w:tr>
      <w:tr w:rsidR="00CB74BD" w:rsidRPr="00CB74BD" w14:paraId="7C431AEF" w14:textId="77777777" w:rsidTr="004A3479">
        <w:trPr>
          <w:trHeight w:val="300"/>
          <w:jc w:val="center"/>
        </w:trPr>
        <w:tc>
          <w:tcPr>
            <w:tcW w:w="1007" w:type="dxa"/>
            <w:noWrap/>
          </w:tcPr>
          <w:p w14:paraId="1FEB2142" w14:textId="3EE2FD2C" w:rsidR="00CB74BD" w:rsidRPr="00CB74BD" w:rsidRDefault="00CB74BD" w:rsidP="00D0747A">
            <w:r w:rsidRPr="00CB74BD">
              <w:t>Dec-22</w:t>
            </w:r>
          </w:p>
        </w:tc>
        <w:tc>
          <w:tcPr>
            <w:tcW w:w="1099" w:type="dxa"/>
            <w:noWrap/>
          </w:tcPr>
          <w:p w14:paraId="1A67A3AA" w14:textId="25175548" w:rsidR="00CB74BD" w:rsidRPr="00CB74BD" w:rsidRDefault="00CB74BD" w:rsidP="00D0747A">
            <w:r w:rsidRPr="00CB74BD">
              <w:t>Q4 2022</w:t>
            </w:r>
          </w:p>
        </w:tc>
        <w:tc>
          <w:tcPr>
            <w:tcW w:w="3104" w:type="dxa"/>
            <w:noWrap/>
          </w:tcPr>
          <w:p w14:paraId="14FE7D90" w14:textId="0B2F6BE6" w:rsidR="00CB74BD" w:rsidRPr="00CB74BD" w:rsidRDefault="00CB74BD" w:rsidP="00D0747A">
            <w:r w:rsidRPr="00CB74BD">
              <w:t>Statewide active</w:t>
            </w:r>
          </w:p>
        </w:tc>
        <w:tc>
          <w:tcPr>
            <w:tcW w:w="576" w:type="dxa"/>
            <w:noWrap/>
          </w:tcPr>
          <w:p w14:paraId="0223B7C3" w14:textId="77777777" w:rsidR="00CB74BD" w:rsidRPr="00CB74BD" w:rsidRDefault="00CB74BD" w:rsidP="00D0747A"/>
        </w:tc>
        <w:tc>
          <w:tcPr>
            <w:tcW w:w="576" w:type="dxa"/>
            <w:noWrap/>
          </w:tcPr>
          <w:p w14:paraId="2F4D5B07" w14:textId="77777777" w:rsidR="00CB74BD" w:rsidRPr="00CB74BD" w:rsidRDefault="00CB74BD" w:rsidP="00D0747A"/>
        </w:tc>
        <w:tc>
          <w:tcPr>
            <w:tcW w:w="576" w:type="dxa"/>
            <w:noWrap/>
          </w:tcPr>
          <w:p w14:paraId="45A9F54F" w14:textId="77777777" w:rsidR="00CB74BD" w:rsidRPr="00CB74BD" w:rsidRDefault="00CB74BD" w:rsidP="00D0747A"/>
        </w:tc>
        <w:tc>
          <w:tcPr>
            <w:tcW w:w="576" w:type="dxa"/>
            <w:noWrap/>
          </w:tcPr>
          <w:p w14:paraId="2434B968" w14:textId="77777777" w:rsidR="00CB74BD" w:rsidRPr="00CB74BD" w:rsidRDefault="00CB74BD" w:rsidP="00D0747A"/>
        </w:tc>
        <w:tc>
          <w:tcPr>
            <w:tcW w:w="576" w:type="dxa"/>
            <w:noWrap/>
          </w:tcPr>
          <w:p w14:paraId="15B99F3A" w14:textId="77777777" w:rsidR="00CB74BD" w:rsidRPr="00CB74BD" w:rsidRDefault="00CB74BD" w:rsidP="00D0747A"/>
        </w:tc>
        <w:tc>
          <w:tcPr>
            <w:tcW w:w="576" w:type="dxa"/>
            <w:noWrap/>
          </w:tcPr>
          <w:p w14:paraId="0D1E42C0" w14:textId="77777777" w:rsidR="00CB74BD" w:rsidRPr="00CB74BD" w:rsidRDefault="00CB74BD" w:rsidP="00D0747A"/>
        </w:tc>
        <w:tc>
          <w:tcPr>
            <w:tcW w:w="576" w:type="dxa"/>
            <w:noWrap/>
          </w:tcPr>
          <w:p w14:paraId="5CF36896" w14:textId="77777777" w:rsidR="00CB74BD" w:rsidRPr="00CB74BD" w:rsidRDefault="00CB74BD" w:rsidP="00D0747A"/>
        </w:tc>
        <w:tc>
          <w:tcPr>
            <w:tcW w:w="576" w:type="dxa"/>
            <w:noWrap/>
          </w:tcPr>
          <w:p w14:paraId="01001C1C" w14:textId="77777777" w:rsidR="00CB74BD" w:rsidRPr="00CB74BD" w:rsidRDefault="00CB74BD" w:rsidP="00D0747A"/>
        </w:tc>
      </w:tr>
    </w:tbl>
    <w:p w14:paraId="2CD3414E" w14:textId="77777777" w:rsidR="00CB74BD" w:rsidRDefault="00CB74BD" w:rsidP="00D0747A">
      <w:pPr>
        <w:spacing w:after="0"/>
      </w:pPr>
    </w:p>
    <w:sectPr w:rsidR="00CB74BD" w:rsidSect="0047451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45385" w14:textId="77777777" w:rsidR="00474515" w:rsidRDefault="00474515" w:rsidP="00474515">
      <w:pPr>
        <w:spacing w:after="0" w:line="240" w:lineRule="auto"/>
      </w:pPr>
      <w:r>
        <w:separator/>
      </w:r>
    </w:p>
  </w:endnote>
  <w:endnote w:type="continuationSeparator" w:id="0">
    <w:p w14:paraId="123D669C" w14:textId="77777777" w:rsidR="00474515" w:rsidRDefault="00474515" w:rsidP="0047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DC6B" w14:textId="77777777" w:rsidR="00474515" w:rsidRDefault="00474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46FF" w14:textId="35B76CA7" w:rsidR="00474515" w:rsidRPr="00474515" w:rsidRDefault="00474515" w:rsidP="00474515">
    <w:pPr>
      <w:pStyle w:val="Footer"/>
      <w:tabs>
        <w:tab w:val="clear" w:pos="4680"/>
        <w:tab w:val="center" w:pos="5400"/>
      </w:tabs>
      <w:rPr>
        <w:i/>
        <w:iCs/>
        <w:sz w:val="18"/>
        <w:szCs w:val="18"/>
      </w:rPr>
    </w:pPr>
    <w:r>
      <w:tab/>
    </w:r>
    <w:r w:rsidRPr="00474515">
      <w:rPr>
        <w:i/>
        <w:iCs/>
        <w:sz w:val="18"/>
        <w:szCs w:val="18"/>
      </w:rPr>
      <w:t xml:space="preserve">page </w:t>
    </w:r>
    <w:r w:rsidRPr="00474515">
      <w:rPr>
        <w:i/>
        <w:iCs/>
        <w:sz w:val="18"/>
        <w:szCs w:val="18"/>
      </w:rPr>
      <w:fldChar w:fldCharType="begin"/>
    </w:r>
    <w:r w:rsidRPr="00474515">
      <w:rPr>
        <w:i/>
        <w:iCs/>
        <w:sz w:val="18"/>
        <w:szCs w:val="18"/>
      </w:rPr>
      <w:instrText xml:space="preserve"> PAGE   \* MERGEFORMAT </w:instrText>
    </w:r>
    <w:r w:rsidRPr="00474515">
      <w:rPr>
        <w:i/>
        <w:iCs/>
        <w:sz w:val="18"/>
        <w:szCs w:val="18"/>
      </w:rPr>
      <w:fldChar w:fldCharType="separate"/>
    </w:r>
    <w:r w:rsidRPr="00474515">
      <w:rPr>
        <w:i/>
        <w:iCs/>
        <w:noProof/>
        <w:sz w:val="18"/>
        <w:szCs w:val="18"/>
      </w:rPr>
      <w:t>1</w:t>
    </w:r>
    <w:r w:rsidRPr="00474515">
      <w:rPr>
        <w:i/>
        <w:iCs/>
        <w:sz w:val="18"/>
        <w:szCs w:val="18"/>
      </w:rPr>
      <w:fldChar w:fldCharType="end"/>
    </w:r>
    <w:r w:rsidRPr="00474515">
      <w:rPr>
        <w:i/>
        <w:iCs/>
        <w:sz w:val="18"/>
        <w:szCs w:val="18"/>
      </w:rPr>
      <w:t xml:space="preserve"> of </w:t>
    </w:r>
    <w:r w:rsidRPr="00474515">
      <w:rPr>
        <w:i/>
        <w:iCs/>
        <w:sz w:val="18"/>
        <w:szCs w:val="18"/>
      </w:rPr>
      <w:fldChar w:fldCharType="begin"/>
    </w:r>
    <w:r w:rsidRPr="00474515">
      <w:rPr>
        <w:i/>
        <w:iCs/>
        <w:sz w:val="18"/>
        <w:szCs w:val="18"/>
      </w:rPr>
      <w:instrText xml:space="preserve"> NUMPAGES   \* MERGEFORMAT </w:instrText>
    </w:r>
    <w:r w:rsidRPr="00474515">
      <w:rPr>
        <w:i/>
        <w:iCs/>
        <w:sz w:val="18"/>
        <w:szCs w:val="18"/>
      </w:rPr>
      <w:fldChar w:fldCharType="separate"/>
    </w:r>
    <w:r w:rsidRPr="00474515">
      <w:rPr>
        <w:i/>
        <w:iCs/>
        <w:noProof/>
        <w:sz w:val="18"/>
        <w:szCs w:val="18"/>
      </w:rPr>
      <w:t>5</w:t>
    </w:r>
    <w:r w:rsidRPr="00474515">
      <w:rPr>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4C394" w14:textId="77777777" w:rsidR="00474515" w:rsidRDefault="00474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3FCAE" w14:textId="77777777" w:rsidR="00474515" w:rsidRDefault="00474515" w:rsidP="00474515">
      <w:pPr>
        <w:spacing w:after="0" w:line="240" w:lineRule="auto"/>
      </w:pPr>
      <w:r>
        <w:separator/>
      </w:r>
    </w:p>
  </w:footnote>
  <w:footnote w:type="continuationSeparator" w:id="0">
    <w:p w14:paraId="6C61A11F" w14:textId="77777777" w:rsidR="00474515" w:rsidRDefault="00474515" w:rsidP="0047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2FCA1" w14:textId="77777777" w:rsidR="00474515" w:rsidRDefault="00474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29D9" w14:textId="77777777" w:rsidR="00474515" w:rsidRDefault="00474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031BA" w14:textId="77777777" w:rsidR="00474515" w:rsidRDefault="00474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203C"/>
    <w:multiLevelType w:val="hybridMultilevel"/>
    <w:tmpl w:val="BF5A8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F32DF"/>
    <w:multiLevelType w:val="hybridMultilevel"/>
    <w:tmpl w:val="8D8EE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147C3"/>
    <w:multiLevelType w:val="hybridMultilevel"/>
    <w:tmpl w:val="8C9E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BD"/>
    <w:rsid w:val="001A250E"/>
    <w:rsid w:val="00225168"/>
    <w:rsid w:val="00474515"/>
    <w:rsid w:val="004A3479"/>
    <w:rsid w:val="005274E5"/>
    <w:rsid w:val="00604475"/>
    <w:rsid w:val="00674653"/>
    <w:rsid w:val="00745440"/>
    <w:rsid w:val="008F6276"/>
    <w:rsid w:val="00924B3B"/>
    <w:rsid w:val="009753DA"/>
    <w:rsid w:val="00AE3495"/>
    <w:rsid w:val="00AE5B45"/>
    <w:rsid w:val="00CB74BD"/>
    <w:rsid w:val="00D0747A"/>
    <w:rsid w:val="00DB193D"/>
    <w:rsid w:val="00DB1D67"/>
    <w:rsid w:val="00F2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3D1B"/>
  <w15:chartTrackingRefBased/>
  <w15:docId w15:val="{7798890A-82AC-46D2-8E60-670ED878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47A"/>
    <w:pPr>
      <w:ind w:left="720"/>
      <w:contextualSpacing/>
    </w:pPr>
  </w:style>
  <w:style w:type="paragraph" w:styleId="Header">
    <w:name w:val="header"/>
    <w:basedOn w:val="Normal"/>
    <w:link w:val="HeaderChar"/>
    <w:uiPriority w:val="99"/>
    <w:unhideWhenUsed/>
    <w:rsid w:val="0047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515"/>
  </w:style>
  <w:style w:type="paragraph" w:styleId="Footer">
    <w:name w:val="footer"/>
    <w:basedOn w:val="Normal"/>
    <w:link w:val="FooterChar"/>
    <w:uiPriority w:val="99"/>
    <w:unhideWhenUsed/>
    <w:rsid w:val="0047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365857">
      <w:bodyDiv w:val="1"/>
      <w:marLeft w:val="0"/>
      <w:marRight w:val="0"/>
      <w:marTop w:val="0"/>
      <w:marBottom w:val="0"/>
      <w:divBdr>
        <w:top w:val="none" w:sz="0" w:space="0" w:color="auto"/>
        <w:left w:val="none" w:sz="0" w:space="0" w:color="auto"/>
        <w:bottom w:val="none" w:sz="0" w:space="0" w:color="auto"/>
        <w:right w:val="none" w:sz="0" w:space="0" w:color="auto"/>
      </w:divBdr>
    </w:div>
    <w:div w:id="1088890064">
      <w:bodyDiv w:val="1"/>
      <w:marLeft w:val="0"/>
      <w:marRight w:val="0"/>
      <w:marTop w:val="0"/>
      <w:marBottom w:val="0"/>
      <w:divBdr>
        <w:top w:val="none" w:sz="0" w:space="0" w:color="auto"/>
        <w:left w:val="none" w:sz="0" w:space="0" w:color="auto"/>
        <w:bottom w:val="none" w:sz="0" w:space="0" w:color="auto"/>
        <w:right w:val="none" w:sz="0" w:space="0" w:color="auto"/>
      </w:divBdr>
    </w:div>
    <w:div w:id="20659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1134</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Theresa A</dc:creator>
  <cp:keywords/>
  <dc:description/>
  <cp:lastModifiedBy>Scott, Theresa A</cp:lastModifiedBy>
  <cp:revision>8</cp:revision>
  <dcterms:created xsi:type="dcterms:W3CDTF">2020-09-29T20:19:00Z</dcterms:created>
  <dcterms:modified xsi:type="dcterms:W3CDTF">2021-02-15T22:27:00Z</dcterms:modified>
</cp:coreProperties>
</file>