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E06D" w14:textId="6C60AAD7" w:rsidR="00C24577" w:rsidRDefault="00380A9B" w:rsidP="00C24577">
      <w:pPr>
        <w:rPr>
          <w:b/>
          <w:bCs/>
          <w:color w:val="7030A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EDABD" wp14:editId="688B3E88">
            <wp:simplePos x="0" y="0"/>
            <wp:positionH relativeFrom="margin">
              <wp:posOffset>5457825</wp:posOffset>
            </wp:positionH>
            <wp:positionV relativeFrom="paragraph">
              <wp:posOffset>-266700</wp:posOffset>
            </wp:positionV>
            <wp:extent cx="1285875" cy="1281789"/>
            <wp:effectExtent l="0" t="0" r="0" b="0"/>
            <wp:wrapNone/>
            <wp:docPr id="16775103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D23">
        <w:rPr>
          <w:b/>
          <w:bCs/>
          <w:color w:val="7030A0"/>
          <w:sz w:val="28"/>
          <w:szCs w:val="28"/>
          <w:u w:val="single"/>
        </w:rPr>
        <w:t>TIPQC</w:t>
      </w:r>
      <w:r w:rsidR="00C24577">
        <w:rPr>
          <w:b/>
          <w:bCs/>
          <w:color w:val="7030A0"/>
          <w:sz w:val="28"/>
          <w:szCs w:val="28"/>
          <w:u w:val="single"/>
        </w:rPr>
        <w:t xml:space="preserve"> – </w:t>
      </w:r>
      <w:r w:rsidR="00360DD4">
        <w:rPr>
          <w:b/>
          <w:bCs/>
          <w:color w:val="7030A0"/>
          <w:sz w:val="28"/>
          <w:szCs w:val="28"/>
          <w:u w:val="single"/>
        </w:rPr>
        <w:t>Best For All</w:t>
      </w:r>
      <w:r w:rsidR="00652CC0">
        <w:rPr>
          <w:b/>
          <w:bCs/>
          <w:color w:val="7030A0"/>
          <w:sz w:val="28"/>
          <w:szCs w:val="28"/>
          <w:u w:val="single"/>
        </w:rPr>
        <w:t xml:space="preserve"> (BFA)</w:t>
      </w:r>
      <w:r w:rsidR="00360DD4">
        <w:rPr>
          <w:b/>
          <w:bCs/>
          <w:color w:val="7030A0"/>
          <w:sz w:val="28"/>
          <w:szCs w:val="28"/>
          <w:u w:val="single"/>
        </w:rPr>
        <w:t xml:space="preserve"> Quality Improvement Project</w:t>
      </w:r>
    </w:p>
    <w:p w14:paraId="6CB03C42" w14:textId="32D33A57" w:rsidR="00380A9B" w:rsidRDefault="00380A9B" w:rsidP="00C24577">
      <w:pPr>
        <w:rPr>
          <w:b/>
          <w:bCs/>
          <w:color w:val="7030A0"/>
          <w:sz w:val="28"/>
          <w:szCs w:val="28"/>
          <w:u w:val="single"/>
        </w:rPr>
      </w:pPr>
      <w:r w:rsidRPr="00BF5213">
        <w:rPr>
          <w:b/>
          <w:bCs/>
          <w:color w:val="7030A0"/>
          <w:sz w:val="28"/>
          <w:szCs w:val="28"/>
          <w:u w:val="single"/>
        </w:rPr>
        <w:t>MONTHLY</w:t>
      </w:r>
      <w:r w:rsidR="007E6602">
        <w:rPr>
          <w:b/>
          <w:bCs/>
          <w:color w:val="7030A0"/>
          <w:sz w:val="28"/>
          <w:szCs w:val="28"/>
          <w:u w:val="single"/>
        </w:rPr>
        <w:t xml:space="preserve"> and QUARTERLY</w:t>
      </w:r>
      <w:r w:rsidRPr="00BF5213">
        <w:rPr>
          <w:b/>
          <w:bCs/>
          <w:color w:val="7030A0"/>
          <w:sz w:val="28"/>
          <w:szCs w:val="28"/>
          <w:u w:val="single"/>
        </w:rPr>
        <w:t xml:space="preserve"> MEASURE DATA ENTRY</w:t>
      </w:r>
    </w:p>
    <w:p w14:paraId="5E7FDA06" w14:textId="2FA8BFBA" w:rsidR="00611235" w:rsidRDefault="00611235" w:rsidP="00380A9B">
      <w:pPr>
        <w:jc w:val="right"/>
      </w:pPr>
    </w:p>
    <w:p w14:paraId="183787A1" w14:textId="1F6B4E62" w:rsidR="00BF5213" w:rsidRPr="00F648C4" w:rsidRDefault="00C115AD">
      <w:pPr>
        <w:rPr>
          <w:b/>
          <w:bCs/>
          <w:color w:val="385623" w:themeColor="accent6" w:themeShade="80"/>
          <w:sz w:val="24"/>
          <w:szCs w:val="24"/>
          <w:u w:val="single"/>
        </w:rPr>
      </w:pPr>
      <w:bookmarkStart w:id="0" w:name="_Hlk153889530"/>
      <w:r w:rsidRPr="00F648C4">
        <w:rPr>
          <w:b/>
          <w:bCs/>
          <w:color w:val="385623" w:themeColor="accent6" w:themeShade="80"/>
          <w:sz w:val="24"/>
          <w:szCs w:val="24"/>
          <w:u w:val="single"/>
        </w:rPr>
        <w:t>OUTCOME MEASURES</w:t>
      </w:r>
      <w:r w:rsidR="007E6602">
        <w:rPr>
          <w:b/>
          <w:bCs/>
          <w:color w:val="385623" w:themeColor="accent6" w:themeShade="80"/>
          <w:sz w:val="24"/>
          <w:szCs w:val="24"/>
          <w:u w:val="single"/>
        </w:rPr>
        <w:t xml:space="preserve"> – Reported monthly</w:t>
      </w:r>
      <w:r w:rsidR="00094451">
        <w:rPr>
          <w:b/>
          <w:bCs/>
          <w:color w:val="385623" w:themeColor="accent6" w:themeShade="80"/>
          <w:sz w:val="24"/>
          <w:szCs w:val="24"/>
          <w:u w:val="single"/>
        </w:rPr>
        <w:t xml:space="preserve"> and quarterly</w:t>
      </w:r>
    </w:p>
    <w:bookmarkEnd w:id="0"/>
    <w:p w14:paraId="1A1E78B9" w14:textId="632D9658" w:rsidR="003215B2" w:rsidRDefault="003215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#1:  </w:t>
      </w:r>
      <w:r w:rsidR="009A3E8D">
        <w:rPr>
          <w:b/>
          <w:bCs/>
          <w:u w:val="single"/>
        </w:rPr>
        <w:t xml:space="preserve">Tennessee Birthing Hospitals will have 90% of all key </w:t>
      </w:r>
      <w:r w:rsidR="002558FB">
        <w:rPr>
          <w:b/>
          <w:bCs/>
          <w:u w:val="single"/>
        </w:rPr>
        <w:t>Process and Structure</w:t>
      </w:r>
      <w:r w:rsidR="009A3E8D">
        <w:rPr>
          <w:b/>
          <w:bCs/>
          <w:u w:val="single"/>
        </w:rPr>
        <w:t xml:space="preserve"> measures (strategies) in place.</w:t>
      </w:r>
    </w:p>
    <w:p w14:paraId="3C8F5134" w14:textId="09D15125" w:rsidR="008554A0" w:rsidRPr="003215B2" w:rsidRDefault="008554A0" w:rsidP="008554A0">
      <w:pPr>
        <w:pStyle w:val="ListParagraph"/>
        <w:numPr>
          <w:ilvl w:val="0"/>
          <w:numId w:val="1"/>
        </w:numPr>
      </w:pPr>
      <w:r>
        <w:t xml:space="preserve">Cumulative proportion of implemented </w:t>
      </w:r>
      <w:r w:rsidRPr="00D3602E">
        <w:rPr>
          <w:b/>
          <w:bCs/>
        </w:rPr>
        <w:t xml:space="preserve">Best </w:t>
      </w:r>
      <w:r w:rsidR="00D3602E">
        <w:rPr>
          <w:b/>
          <w:bCs/>
        </w:rPr>
        <w:t>F</w:t>
      </w:r>
      <w:r w:rsidR="00D3602E" w:rsidRPr="00D3602E">
        <w:rPr>
          <w:b/>
          <w:bCs/>
        </w:rPr>
        <w:t>or</w:t>
      </w:r>
      <w:r w:rsidRPr="00D3602E">
        <w:rPr>
          <w:b/>
          <w:bCs/>
        </w:rPr>
        <w:t xml:space="preserve"> All </w:t>
      </w:r>
      <w:r w:rsidR="00D3602E">
        <w:rPr>
          <w:b/>
          <w:bCs/>
        </w:rPr>
        <w:t xml:space="preserve">(BFA) </w:t>
      </w:r>
      <w:r w:rsidR="006272ED" w:rsidRPr="00D3602E">
        <w:rPr>
          <w:b/>
          <w:bCs/>
        </w:rPr>
        <w:t>Strategies</w:t>
      </w:r>
      <w:r w:rsidR="006272ED">
        <w:t xml:space="preserve"> defined in the tool kit as Structure and Process Measures</w:t>
      </w:r>
      <w:r w:rsidR="007563FC">
        <w:t xml:space="preserve">. </w:t>
      </w:r>
      <w:r w:rsidR="00E739A4">
        <w:t>Teams will report in 10% increments (</w:t>
      </w:r>
      <w:r w:rsidR="00E739A4">
        <w:rPr>
          <w:rFonts w:ascii="Calibri" w:hAnsi="Calibri" w:cs="Calibri"/>
          <w:color w:val="000000"/>
        </w:rPr>
        <w:t>0%, 10%, 20%, 30%, 40%, 50%, 60%, 70%, 80%, 90%, 100%)</w:t>
      </w:r>
      <w:r w:rsidR="007563FC">
        <w:rPr>
          <w:rFonts w:ascii="Calibri" w:hAnsi="Calibri" w:cs="Calibri"/>
          <w:color w:val="000000"/>
        </w:rPr>
        <w:t xml:space="preserve">. </w:t>
      </w:r>
      <w:r w:rsidR="00E739A4">
        <w:rPr>
          <w:rFonts w:ascii="Calibri" w:hAnsi="Calibri" w:cs="Calibri"/>
          <w:color w:val="000000"/>
        </w:rPr>
        <w:t xml:space="preserve">Each process and structure measure </w:t>
      </w:r>
      <w:r w:rsidR="00702A31">
        <w:rPr>
          <w:rFonts w:ascii="Calibri" w:hAnsi="Calibri" w:cs="Calibri"/>
          <w:color w:val="000000"/>
        </w:rPr>
        <w:t xml:space="preserve">are </w:t>
      </w:r>
      <w:r w:rsidR="00E739A4">
        <w:rPr>
          <w:rFonts w:ascii="Calibri" w:hAnsi="Calibri" w:cs="Calibri"/>
          <w:color w:val="000000"/>
        </w:rPr>
        <w:t>defined in detail below.</w:t>
      </w:r>
    </w:p>
    <w:p w14:paraId="28FD88DB" w14:textId="0E2BB44D" w:rsidR="00BF5213" w:rsidRDefault="00BF5213" w:rsidP="00B52E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#2:  </w:t>
      </w:r>
      <w:r w:rsidR="00D3602E">
        <w:rPr>
          <w:b/>
          <w:bCs/>
          <w:u w:val="single"/>
        </w:rPr>
        <w:t xml:space="preserve">Demonstrate improvement in </w:t>
      </w:r>
      <w:r w:rsidR="00FE0191">
        <w:rPr>
          <w:b/>
          <w:bCs/>
          <w:u w:val="single"/>
        </w:rPr>
        <w:t>Patient Reported Experience Measure</w:t>
      </w:r>
      <w:r w:rsidR="0035615D">
        <w:rPr>
          <w:b/>
          <w:bCs/>
          <w:u w:val="single"/>
        </w:rPr>
        <w:t xml:space="preserve"> (PREM)</w:t>
      </w:r>
      <w:r w:rsidR="00D3602E">
        <w:rPr>
          <w:b/>
          <w:bCs/>
          <w:u w:val="single"/>
        </w:rPr>
        <w:t xml:space="preserve"> survey s</w:t>
      </w:r>
      <w:r w:rsidR="0035615D">
        <w:rPr>
          <w:b/>
          <w:bCs/>
          <w:u w:val="single"/>
        </w:rPr>
        <w:t>cores by 10% for ALL families during hospital delivery stay by 2026.</w:t>
      </w:r>
    </w:p>
    <w:p w14:paraId="214542A0" w14:textId="6498B24A" w:rsidR="00B72B31" w:rsidRPr="00B72B31" w:rsidRDefault="00B72B31" w:rsidP="00B72B3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Utilizing PREM Survey, at the time of discharge patients will be asked to complete the survey as an opportunity to give feedback on their care experience</w:t>
      </w:r>
      <w:r w:rsidR="007563FC"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7919A905" w14:textId="644B5D47" w:rsidR="00B72B31" w:rsidRPr="00B72B31" w:rsidRDefault="00B72B31" w:rsidP="00B72B3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Hospitals will demonstrate a 10% increase in patient survey scores as demonstrated by a percent increase in the number of survey responses of ‘agree or strongly agree’</w:t>
      </w:r>
      <w:r w:rsidR="000D0D7F"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68762E28" w14:textId="000D5C46" w:rsidR="00B72B31" w:rsidRPr="00B72B31" w:rsidRDefault="00B72B31" w:rsidP="00B72B31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Surveys are distributed to all birthing people at discharge</w:t>
      </w:r>
      <w:r w:rsidR="007563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 w:rsidR="0065094F">
        <w:rPr>
          <w:rFonts w:ascii="Calibri" w:eastAsia="Times New Roman" w:hAnsi="Calibri" w:cs="Calibri"/>
          <w:color w:val="000000"/>
          <w:kern w:val="0"/>
          <w14:ligatures w14:val="none"/>
        </w:rPr>
        <w:t>Patients will be given a QR scan code and/or link to complete the survey via REDCap</w:t>
      </w:r>
      <w:r w:rsidR="007563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 w:rsidR="003B4883">
        <w:rPr>
          <w:rFonts w:ascii="Calibri" w:hAnsi="Calibri" w:cs="Calibri"/>
          <w:color w:val="000000"/>
        </w:rPr>
        <w:t>Paper survey forms will be used as needed</w:t>
      </w:r>
      <w:r w:rsidR="007563FC">
        <w:rPr>
          <w:rFonts w:ascii="Calibri" w:hAnsi="Calibri" w:cs="Calibri"/>
          <w:color w:val="000000"/>
        </w:rPr>
        <w:t xml:space="preserve">. </w:t>
      </w:r>
      <w:r w:rsidR="00856259">
        <w:rPr>
          <w:rFonts w:ascii="Calibri" w:hAnsi="Calibri" w:cs="Calibri"/>
          <w:color w:val="000000"/>
        </w:rPr>
        <w:t xml:space="preserve">Surveys will be provided in English, Spanish, </w:t>
      </w:r>
      <w:r w:rsidR="000F7C5E">
        <w:rPr>
          <w:rFonts w:ascii="Calibri" w:hAnsi="Calibri" w:cs="Calibri"/>
          <w:color w:val="000000"/>
        </w:rPr>
        <w:t>Mandarin</w:t>
      </w:r>
      <w:r w:rsidR="00B90225">
        <w:rPr>
          <w:rFonts w:ascii="Calibri" w:hAnsi="Calibri" w:cs="Calibri"/>
          <w:color w:val="000000"/>
        </w:rPr>
        <w:t xml:space="preserve">, French, Chinese </w:t>
      </w:r>
      <w:r w:rsidR="00856259">
        <w:rPr>
          <w:rFonts w:ascii="Calibri" w:hAnsi="Calibri" w:cs="Calibri"/>
          <w:color w:val="000000"/>
        </w:rPr>
        <w:t>and Arabic.</w:t>
      </w:r>
    </w:p>
    <w:p w14:paraId="18D5B2CA" w14:textId="69DF1762" w:rsidR="00B72B31" w:rsidRPr="009A72B0" w:rsidRDefault="00B72B31" w:rsidP="00B72B31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REDCap survey responses will be </w:t>
      </w:r>
      <w:r w:rsidR="00F54E2E" w:rsidRPr="00B72B31">
        <w:rPr>
          <w:rFonts w:ascii="Calibri" w:eastAsia="Times New Roman" w:hAnsi="Calibri" w:cs="Calibri"/>
          <w:color w:val="000000"/>
          <w:kern w:val="0"/>
          <w14:ligatures w14:val="none"/>
        </w:rPr>
        <w:t>aggregated,</w:t>
      </w: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</w:t>
      </w:r>
      <w:r w:rsidRPr="009A72B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data </w:t>
      </w:r>
      <w:r w:rsidR="00384A2D" w:rsidRPr="009A72B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entered</w:t>
      </w:r>
      <w:r w:rsidRPr="009A72B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</w:t>
      </w:r>
      <w:r w:rsidR="001718F0" w:rsidRPr="009A72B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into </w:t>
      </w:r>
      <w:r w:rsidRPr="009A72B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SimpleQI by TIPQC staff.</w:t>
      </w:r>
    </w:p>
    <w:p w14:paraId="5938A554" w14:textId="77777777" w:rsidR="00B72B31" w:rsidRPr="00B72B31" w:rsidRDefault="00B72B31" w:rsidP="00B72B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2B7F53" w14:textId="6E141435" w:rsidR="00B72B31" w:rsidRPr="00B72B31" w:rsidRDefault="00B72B31" w:rsidP="00B72B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Outcome measures will be stratified to report disaggregated race</w:t>
      </w:r>
      <w:r w:rsidR="007E1D6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preferred </w:t>
      </w:r>
      <w:r w:rsidR="00702A31">
        <w:rPr>
          <w:rFonts w:ascii="Calibri" w:eastAsia="Times New Roman" w:hAnsi="Calibri" w:cs="Calibri"/>
          <w:color w:val="000000"/>
          <w:kern w:val="0"/>
          <w14:ligatures w14:val="none"/>
        </w:rPr>
        <w:t>language,</w:t>
      </w: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payor status data as applicable.</w:t>
      </w:r>
    </w:p>
    <w:p w14:paraId="1C158941" w14:textId="77777777" w:rsidR="00231046" w:rsidRPr="00EE526C" w:rsidRDefault="00231046" w:rsidP="00B52E72">
      <w:pPr>
        <w:rPr>
          <w:b/>
          <w:bCs/>
          <w:sz w:val="16"/>
          <w:szCs w:val="16"/>
          <w:u w:val="single"/>
        </w:rPr>
      </w:pPr>
    </w:p>
    <w:p w14:paraId="1573FA01" w14:textId="2726092D" w:rsidR="00F648C4" w:rsidRDefault="00ED3705" w:rsidP="00F648C4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b/>
          <w:bCs/>
          <w:color w:val="385623" w:themeColor="accent6" w:themeShade="80"/>
          <w:sz w:val="24"/>
          <w:szCs w:val="24"/>
          <w:u w:val="single"/>
        </w:rPr>
        <w:t>BALANCING</w:t>
      </w:r>
      <w:r w:rsidR="00F648C4" w:rsidRPr="00F648C4">
        <w:rPr>
          <w:b/>
          <w:bCs/>
          <w:color w:val="385623" w:themeColor="accent6" w:themeShade="80"/>
          <w:sz w:val="24"/>
          <w:szCs w:val="24"/>
          <w:u w:val="single"/>
        </w:rPr>
        <w:t xml:space="preserve"> MEASURES</w:t>
      </w:r>
      <w:r w:rsidR="007E6602">
        <w:rPr>
          <w:b/>
          <w:bCs/>
          <w:color w:val="385623" w:themeColor="accent6" w:themeShade="80"/>
          <w:sz w:val="24"/>
          <w:szCs w:val="24"/>
          <w:u w:val="single"/>
        </w:rPr>
        <w:t xml:space="preserve"> – Reported monthly</w:t>
      </w:r>
    </w:p>
    <w:p w14:paraId="32017743" w14:textId="3B9EE4B9" w:rsidR="00E5075B" w:rsidRPr="006C1C79" w:rsidRDefault="006C1C79" w:rsidP="00F648C4">
      <w:pPr>
        <w:rPr>
          <w:b/>
          <w:bCs/>
          <w:u w:val="single"/>
        </w:rPr>
      </w:pPr>
      <w:r w:rsidRPr="006C1C79">
        <w:rPr>
          <w:b/>
          <w:bCs/>
          <w:u w:val="single"/>
        </w:rPr>
        <w:t xml:space="preserve">Balancing Measure #1:  </w:t>
      </w:r>
      <w:r w:rsidR="00DC7137">
        <w:rPr>
          <w:b/>
          <w:bCs/>
          <w:u w:val="single"/>
        </w:rPr>
        <w:t xml:space="preserve">Percent of </w:t>
      </w:r>
      <w:r w:rsidR="0057108C">
        <w:rPr>
          <w:b/>
          <w:bCs/>
          <w:u w:val="single"/>
        </w:rPr>
        <w:t>less-than-optimal</w:t>
      </w:r>
      <w:r w:rsidR="00DC7137">
        <w:rPr>
          <w:b/>
          <w:bCs/>
          <w:u w:val="single"/>
        </w:rPr>
        <w:t xml:space="preserve"> pat</w:t>
      </w:r>
      <w:r w:rsidR="003008F3">
        <w:rPr>
          <w:b/>
          <w:bCs/>
          <w:u w:val="single"/>
        </w:rPr>
        <w:t>ient experiences by analyzing the Patient Reported Experience Measure (PREM) survey</w:t>
      </w:r>
      <w:r w:rsidR="000D7644">
        <w:rPr>
          <w:b/>
          <w:bCs/>
          <w:u w:val="single"/>
        </w:rPr>
        <w:t xml:space="preserve"> responses of ‘disagree/strongly disagree.’</w:t>
      </w:r>
    </w:p>
    <w:p w14:paraId="7C933A75" w14:textId="03E10411" w:rsidR="00384A2D" w:rsidRPr="00B72B31" w:rsidRDefault="00384A2D" w:rsidP="00384A2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Utilizing the PREM Survey, at the time of discharge patients will be asked to complete the survey as an opportunity to give feedback on their care experience</w:t>
      </w:r>
      <w:r w:rsidR="007563FC"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373683EE" w14:textId="23615F28" w:rsidR="00384A2D" w:rsidRPr="00B72B31" w:rsidRDefault="00EB7282" w:rsidP="00384A2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P</w:t>
      </w:r>
      <w:r w:rsidR="00384A2D" w:rsidRPr="00B72B31">
        <w:rPr>
          <w:rFonts w:ascii="Calibri" w:eastAsia="Times New Roman" w:hAnsi="Calibri" w:cs="Calibri"/>
          <w:color w:val="000000"/>
          <w:kern w:val="0"/>
          <w14:ligatures w14:val="none"/>
        </w:rPr>
        <w:t>atient survey responses of ‘</w:t>
      </w:r>
      <w:r w:rsidR="00C8499E">
        <w:rPr>
          <w:rFonts w:ascii="Calibri" w:eastAsia="Times New Roman" w:hAnsi="Calibri" w:cs="Calibri"/>
          <w:color w:val="000000"/>
          <w:kern w:val="0"/>
          <w14:ligatures w14:val="none"/>
        </w:rPr>
        <w:t>disagree and strongly disagree’ will be analyzed</w:t>
      </w:r>
      <w:r w:rsidR="007563FC"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41700AD1" w14:textId="554EEB30" w:rsidR="00384A2D" w:rsidRPr="00B72B31" w:rsidRDefault="00384A2D" w:rsidP="00384A2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>Surveys are distributed to all birthing people at discharge</w:t>
      </w:r>
      <w:r w:rsidR="007563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Patients will be given a QR scan code and/or link to complete the survey via REDCap</w:t>
      </w:r>
      <w:r w:rsidR="007563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>
        <w:rPr>
          <w:rFonts w:ascii="Calibri" w:hAnsi="Calibri" w:cs="Calibri"/>
          <w:color w:val="000000"/>
        </w:rPr>
        <w:t>Paper survey forms will be used as needed</w:t>
      </w:r>
      <w:r w:rsidR="007563FC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Surveys will be provided in English, Spanish, </w:t>
      </w:r>
      <w:r w:rsidR="00457ED9">
        <w:rPr>
          <w:rFonts w:ascii="Calibri" w:hAnsi="Calibri" w:cs="Calibri"/>
          <w:color w:val="000000"/>
        </w:rPr>
        <w:t xml:space="preserve">Mandarin, French, Chinese </w:t>
      </w:r>
      <w:r>
        <w:rPr>
          <w:rFonts w:ascii="Calibri" w:hAnsi="Calibri" w:cs="Calibri"/>
          <w:color w:val="000000"/>
        </w:rPr>
        <w:t>and Arabic.</w:t>
      </w:r>
    </w:p>
    <w:p w14:paraId="025BC71A" w14:textId="77777777" w:rsidR="00384A2D" w:rsidRPr="00B72B31" w:rsidRDefault="00384A2D" w:rsidP="00384A2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72B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REDCap survey responses will be aggregated, and </w:t>
      </w:r>
      <w:r w:rsidRPr="005D54E5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data entered into SimpleQI by TIPQC staff.</w:t>
      </w:r>
    </w:p>
    <w:p w14:paraId="16AF14A4" w14:textId="3AFD5584" w:rsidR="00F648C4" w:rsidRDefault="00F648C4" w:rsidP="00B52E72">
      <w:pPr>
        <w:rPr>
          <w:b/>
          <w:bCs/>
          <w:u w:val="single"/>
        </w:rPr>
      </w:pPr>
    </w:p>
    <w:p w14:paraId="43B5D9BD" w14:textId="4B6E1823" w:rsidR="007E6602" w:rsidRDefault="007E6602" w:rsidP="007E6602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b/>
          <w:bCs/>
          <w:color w:val="385623" w:themeColor="accent6" w:themeShade="80"/>
          <w:sz w:val="24"/>
          <w:szCs w:val="24"/>
          <w:u w:val="single"/>
        </w:rPr>
        <w:t>PROCESS</w:t>
      </w:r>
      <w:r w:rsidRPr="00F648C4">
        <w:rPr>
          <w:b/>
          <w:bCs/>
          <w:color w:val="385623" w:themeColor="accent6" w:themeShade="80"/>
          <w:sz w:val="24"/>
          <w:szCs w:val="24"/>
          <w:u w:val="single"/>
        </w:rPr>
        <w:t xml:space="preserve"> MEASURES</w:t>
      </w:r>
      <w:r w:rsidR="00CC4F40">
        <w:rPr>
          <w:b/>
          <w:bCs/>
          <w:color w:val="385623" w:themeColor="accent6" w:themeShade="80"/>
          <w:sz w:val="24"/>
          <w:szCs w:val="24"/>
          <w:u w:val="single"/>
        </w:rPr>
        <w:t xml:space="preserve"> – Reported quarterly</w:t>
      </w:r>
    </w:p>
    <w:p w14:paraId="07DE1B3D" w14:textId="10C9AB47" w:rsidR="0038060C" w:rsidRPr="00421C7C" w:rsidRDefault="00013C55" w:rsidP="00421C7C">
      <w:pPr>
        <w:pStyle w:val="ListParagrap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421C7C">
        <w:rPr>
          <w:u w:val="single"/>
        </w:rPr>
        <w:t xml:space="preserve">The following process measures should be entered directly into </w:t>
      </w:r>
      <w:proofErr w:type="spellStart"/>
      <w:r w:rsidRPr="00421C7C">
        <w:rPr>
          <w:u w:val="single"/>
        </w:rPr>
        <w:t>SimpleQI</w:t>
      </w:r>
      <w:proofErr w:type="spellEnd"/>
      <w:r w:rsidRPr="00421C7C">
        <w:rPr>
          <w:u w:val="single"/>
        </w:rPr>
        <w:t xml:space="preserve"> by </w:t>
      </w:r>
      <w:r w:rsidR="00421C7C" w:rsidRPr="00421C7C">
        <w:rPr>
          <w:u w:val="single"/>
        </w:rPr>
        <w:t>hospital teams.</w:t>
      </w:r>
    </w:p>
    <w:p w14:paraId="047E73B2" w14:textId="737B9797" w:rsidR="00321C5C" w:rsidRDefault="007637E9" w:rsidP="007E6602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#1:  </w:t>
      </w:r>
      <w:r w:rsidR="00B029A1">
        <w:rPr>
          <w:b/>
          <w:bCs/>
          <w:color w:val="385623" w:themeColor="accent6" w:themeShade="80"/>
        </w:rPr>
        <w:t>Provider Education – Implicit Bias, Equity and Inclusion that includes unit-standard policy and procedure for addressing equity.</w:t>
      </w:r>
    </w:p>
    <w:p w14:paraId="084A9F00" w14:textId="77777777" w:rsidR="004A7064" w:rsidRDefault="00444DCE" w:rsidP="004A706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A7064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Report in 10% increments</w:t>
      </w:r>
      <w:r w:rsidR="004A7064" w:rsidRPr="004A7064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(</w:t>
      </w:r>
      <w:r w:rsidR="004A7064" w:rsidRPr="004A7064">
        <w:rPr>
          <w:rFonts w:asciiTheme="minorHAnsi" w:hAnsiTheme="minorHAnsi" w:cstheme="minorHAnsi"/>
          <w:color w:val="000000"/>
          <w:sz w:val="22"/>
          <w:szCs w:val="22"/>
        </w:rPr>
        <w:t>0%, 10%, 20%, 30%, 40%, 50%, 60%, 70%, 80%, 90</w:t>
      </w:r>
      <w:r w:rsidR="004A7064">
        <w:rPr>
          <w:rFonts w:ascii="Calibri" w:hAnsi="Calibri" w:cs="Calibri"/>
          <w:color w:val="000000"/>
          <w:sz w:val="22"/>
          <w:szCs w:val="22"/>
        </w:rPr>
        <w:t>%, 100%)</w:t>
      </w:r>
    </w:p>
    <w:p w14:paraId="3F1E1AD2" w14:textId="31C26F5C" w:rsidR="00444DCE" w:rsidRPr="004A7064" w:rsidRDefault="00444DCE" w:rsidP="004A7064">
      <w:pPr>
        <w:rPr>
          <w:b/>
          <w:bCs/>
          <w:color w:val="385623" w:themeColor="accent6" w:themeShade="8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946EFF" w14:paraId="29D708B7" w14:textId="5BE5537B" w:rsidTr="00321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360AB61" w14:textId="61C755FB" w:rsidR="00946EFF" w:rsidRPr="008C218D" w:rsidRDefault="00E86F48" w:rsidP="00B52E72">
            <w:r w:rsidRPr="008C218D">
              <w:t>Q1 2024</w:t>
            </w:r>
          </w:p>
        </w:tc>
        <w:tc>
          <w:tcPr>
            <w:tcW w:w="981" w:type="dxa"/>
          </w:tcPr>
          <w:p w14:paraId="2E9B5F2A" w14:textId="5611565B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199E8735" w14:textId="19C5DC5C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71B5B186" w14:textId="38E13A7A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62686780" w14:textId="1B4BECEB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5A578339" w14:textId="44B31062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6A5206DC" w14:textId="1DD6ABC3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67DE0800" w14:textId="755BBAB9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4BE5DF49" w14:textId="503846AC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4CB3D3F4" w14:textId="052D2575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07C085EE" w14:textId="50D1ADE3" w:rsidR="00946EFF" w:rsidRPr="008C218D" w:rsidRDefault="008A078F" w:rsidP="00B52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E86F48" w14:paraId="276A4501" w14:textId="77777777" w:rsidTr="0032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EE6531E" w14:textId="77777777" w:rsidR="00E86F48" w:rsidRDefault="00E86F48" w:rsidP="00B52E72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150FA1E8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3C30C70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CC0DF48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E42A8A5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E4C9376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AC207B0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0AD9B1E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F249FDF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B15FCEA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5945AC1" w14:textId="77777777" w:rsidR="00E86F48" w:rsidRDefault="00E86F48" w:rsidP="00B52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231046" w14:paraId="1EF31924" w14:textId="77777777" w:rsidTr="00321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402ED29" w14:textId="77777777" w:rsidR="00231046" w:rsidRDefault="00231046" w:rsidP="00B52E72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5F511795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502993A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FBD27B5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6A8F1DD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A53A471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5D8783C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C89994D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5CACA0F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FB665F0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3715C6A" w14:textId="77777777" w:rsidR="00231046" w:rsidRDefault="00231046" w:rsidP="00B5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11BB89FE" w14:textId="77777777" w:rsidR="00231046" w:rsidRDefault="00231046" w:rsidP="008C218D">
      <w:pPr>
        <w:rPr>
          <w:b/>
          <w:bCs/>
        </w:rPr>
      </w:pPr>
    </w:p>
    <w:p w14:paraId="2EA2EA64" w14:textId="0F0D712D" w:rsidR="008C218D" w:rsidRDefault="00E371CA" w:rsidP="008C218D">
      <w:pPr>
        <w:rPr>
          <w:b/>
          <w:bCs/>
          <w:color w:val="385623" w:themeColor="accent6" w:themeShade="80"/>
        </w:rPr>
      </w:pPr>
      <w:r>
        <w:rPr>
          <w:b/>
          <w:bCs/>
        </w:rPr>
        <w:t xml:space="preserve">#2:  Nursing Education - </w:t>
      </w:r>
      <w:r w:rsidR="008C218D">
        <w:rPr>
          <w:b/>
          <w:bCs/>
          <w:color w:val="385623" w:themeColor="accent6" w:themeShade="80"/>
        </w:rPr>
        <w:t>Implicit Bias, Equity and Inclusion that includes unit-standard policy and procedure for addressing equity.</w:t>
      </w:r>
    </w:p>
    <w:p w14:paraId="468AE62D" w14:textId="77777777" w:rsidR="008C218D" w:rsidRDefault="008C218D" w:rsidP="008C21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A7064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Report in 10% increments (</w:t>
      </w:r>
      <w:r w:rsidRPr="004A7064">
        <w:rPr>
          <w:rFonts w:asciiTheme="minorHAnsi" w:hAnsiTheme="minorHAnsi" w:cstheme="minorHAnsi"/>
          <w:color w:val="000000"/>
          <w:sz w:val="22"/>
          <w:szCs w:val="22"/>
        </w:rPr>
        <w:t>0%, 10%, 20%, 30%, 40%, 50%, 60%, 70%, 80%, 90</w:t>
      </w:r>
      <w:r>
        <w:rPr>
          <w:rFonts w:ascii="Calibri" w:hAnsi="Calibri" w:cs="Calibri"/>
          <w:color w:val="000000"/>
          <w:sz w:val="22"/>
          <w:szCs w:val="22"/>
        </w:rPr>
        <w:t>%, 100%)</w:t>
      </w:r>
    </w:p>
    <w:p w14:paraId="3D0D5655" w14:textId="3B06B94C" w:rsidR="007E6602" w:rsidRDefault="007E6602" w:rsidP="008C218D">
      <w:pPr>
        <w:rPr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8C218D" w14:paraId="0DF495D1" w14:textId="77777777" w:rsidTr="00C56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EB67C83" w14:textId="77777777" w:rsidR="008C218D" w:rsidRPr="008C218D" w:rsidRDefault="008C218D" w:rsidP="00C56CD4">
            <w:r w:rsidRPr="008C218D">
              <w:t>Q1 2024</w:t>
            </w:r>
          </w:p>
        </w:tc>
        <w:tc>
          <w:tcPr>
            <w:tcW w:w="981" w:type="dxa"/>
          </w:tcPr>
          <w:p w14:paraId="59D3797E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20E8B0B1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19CF2895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3B548B09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3566A6DF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3E1C813E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66970542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4AB197BB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1A16CA36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775834F5" w14:textId="77777777" w:rsidR="008C218D" w:rsidRPr="008C218D" w:rsidRDefault="008C218D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8C218D" w14:paraId="02443589" w14:textId="77777777" w:rsidTr="00C5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B241B4F" w14:textId="77777777" w:rsidR="008C218D" w:rsidRDefault="008C218D" w:rsidP="00C56CD4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3338A23B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EB48714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EAED559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43B6AF5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683189D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E54102E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9FDAA0C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3717996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3522046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0ACDA6D" w14:textId="77777777" w:rsidR="008C218D" w:rsidRDefault="008C218D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792BC1CB" w14:textId="77777777" w:rsidR="008C218D" w:rsidRDefault="008C218D" w:rsidP="008C218D">
      <w:pPr>
        <w:rPr>
          <w:b/>
          <w:bCs/>
        </w:rPr>
      </w:pPr>
    </w:p>
    <w:p w14:paraId="124898B2" w14:textId="49435929" w:rsidR="008C218D" w:rsidRDefault="00E85B33" w:rsidP="008C218D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E85B33">
        <w:rPr>
          <w:b/>
          <w:bCs/>
          <w:color w:val="385623" w:themeColor="accent6" w:themeShade="80"/>
          <w:sz w:val="24"/>
          <w:szCs w:val="24"/>
          <w:u w:val="single"/>
        </w:rPr>
        <w:t>STRUCTURE MEASURES – Reported quarterly</w:t>
      </w:r>
    </w:p>
    <w:p w14:paraId="16C57FF4" w14:textId="77777777" w:rsidR="00421C7C" w:rsidRPr="00421C7C" w:rsidRDefault="00421C7C" w:rsidP="00421C7C">
      <w:pPr>
        <w:pStyle w:val="ListParagrap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421C7C">
        <w:rPr>
          <w:u w:val="single"/>
        </w:rPr>
        <w:t xml:space="preserve">The following process measures should be entered directly into </w:t>
      </w:r>
      <w:proofErr w:type="spellStart"/>
      <w:r w:rsidRPr="00421C7C">
        <w:rPr>
          <w:u w:val="single"/>
        </w:rPr>
        <w:t>SimpleQI</w:t>
      </w:r>
      <w:proofErr w:type="spellEnd"/>
      <w:r w:rsidRPr="00421C7C">
        <w:rPr>
          <w:u w:val="single"/>
        </w:rPr>
        <w:t xml:space="preserve"> by hospital teams.</w:t>
      </w:r>
    </w:p>
    <w:p w14:paraId="739CFA1B" w14:textId="62CD172A" w:rsidR="00855F7C" w:rsidRPr="00ED6EDB" w:rsidRDefault="00CA7C67" w:rsidP="00ED6ED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D6EDB">
        <w:rPr>
          <w:rFonts w:asciiTheme="minorHAnsi" w:hAnsiTheme="minorHAnsi" w:cstheme="minorHAnsi"/>
          <w:b/>
          <w:bCs/>
          <w:sz w:val="22"/>
          <w:szCs w:val="22"/>
        </w:rPr>
        <w:t xml:space="preserve">#1:  </w:t>
      </w:r>
      <w:r w:rsidR="00855F7C" w:rsidRPr="00ED6E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Hospital has implemented a protocol for collecting race and payor data for all birthing patients, collects self-reported data, and tracks and reviews missing data.</w:t>
      </w:r>
    </w:p>
    <w:p w14:paraId="6833DD2F" w14:textId="77777777" w:rsidR="00855F7C" w:rsidRDefault="00855F7C" w:rsidP="00855F7C">
      <w:pPr>
        <w:pStyle w:val="NormalWeb"/>
        <w:spacing w:before="0" w:beforeAutospacing="0" w:after="0" w:afterAutospacing="0"/>
        <w:ind w:left="288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28B94C30" w14:textId="12B42985" w:rsidR="00855F7C" w:rsidRDefault="00855F7C" w:rsidP="000843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5B71F4E7" w14:textId="77777777" w:rsidR="00D81944" w:rsidRDefault="00D81944" w:rsidP="00D81944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D81944" w14:paraId="48BD1173" w14:textId="77777777" w:rsidTr="00C56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9D98751" w14:textId="77777777" w:rsidR="00D81944" w:rsidRPr="008C218D" w:rsidRDefault="00D81944" w:rsidP="00C56CD4">
            <w:r w:rsidRPr="008C218D">
              <w:t>Q1 2024</w:t>
            </w:r>
          </w:p>
        </w:tc>
        <w:tc>
          <w:tcPr>
            <w:tcW w:w="981" w:type="dxa"/>
          </w:tcPr>
          <w:p w14:paraId="7928D5B0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2E9AB8AA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00AB2682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40F0E70C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74DC9C70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4E6A5B44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613C0CCD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57C41127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17D2E89A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113210D9" w14:textId="77777777" w:rsidR="00D81944" w:rsidRPr="008C218D" w:rsidRDefault="00D81944" w:rsidP="00C5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D81944" w14:paraId="77C8FA9E" w14:textId="77777777" w:rsidTr="00C5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8534099" w14:textId="77777777" w:rsidR="00D81944" w:rsidRDefault="00D81944" w:rsidP="00C56CD4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4CE1DC90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FD755E2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3068336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BE48CBA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9F79ACE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AFAA581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CAC2972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3BEBD40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76F1AFD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C6B347A" w14:textId="77777777" w:rsidR="00D81944" w:rsidRDefault="00D81944" w:rsidP="00C5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4AB1CA1D" w14:textId="67AC876E" w:rsidR="00BF5213" w:rsidRDefault="00BF5213" w:rsidP="00B52E72"/>
    <w:p w14:paraId="16AD63F4" w14:textId="2907E411" w:rsidR="00D36091" w:rsidRPr="00D36091" w:rsidRDefault="00D36091" w:rsidP="00B52E72">
      <w:pPr>
        <w:rPr>
          <w:b/>
          <w:bCs/>
        </w:rPr>
      </w:pPr>
      <w:r w:rsidRPr="00D36091">
        <w:rPr>
          <w:b/>
          <w:bCs/>
        </w:rPr>
        <w:t>#2:  Hospital has implemented a protocol to review disaggregated race and payor data to identify disparities.</w:t>
      </w:r>
    </w:p>
    <w:p w14:paraId="4F4D9C24" w14:textId="470E5505" w:rsidR="00084351" w:rsidRDefault="00084351" w:rsidP="000843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6F0C95C5" w14:textId="77777777" w:rsidR="00084351" w:rsidRDefault="00084351" w:rsidP="000843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084351" w14:paraId="6D5713FD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8B9019B" w14:textId="77777777" w:rsidR="00084351" w:rsidRPr="008C218D" w:rsidRDefault="00084351" w:rsidP="004D19EA">
            <w:r w:rsidRPr="008C218D">
              <w:t>Q1 2024</w:t>
            </w:r>
          </w:p>
        </w:tc>
        <w:tc>
          <w:tcPr>
            <w:tcW w:w="981" w:type="dxa"/>
          </w:tcPr>
          <w:p w14:paraId="6C7F9868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7606CCC8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7DEB105C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3DDF956E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4574681D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1DCB017F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10051A44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2ECD4DDD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1530E2BE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0F774321" w14:textId="77777777" w:rsidR="00084351" w:rsidRPr="008C218D" w:rsidRDefault="0008435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084351" w14:paraId="4AB36A69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40A6CA4B" w14:textId="77777777" w:rsidR="00084351" w:rsidRDefault="00084351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59AB82F9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3CC8198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79476B6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59B23CC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BB9105D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5B5B607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714CFEF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479CFCD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025CC5B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51D9394" w14:textId="77777777" w:rsidR="00084351" w:rsidRDefault="0008435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6FBB1F9F" w14:textId="77777777" w:rsidR="00084351" w:rsidRDefault="00084351" w:rsidP="000843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29CA9B2" w14:textId="77777777" w:rsidR="00084351" w:rsidRDefault="00084351" w:rsidP="000843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402DB95" w14:textId="1EF0FDBB" w:rsidR="00084351" w:rsidRDefault="00997DE6" w:rsidP="000843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3A32">
        <w:rPr>
          <w:rFonts w:ascii="Calibri" w:hAnsi="Calibri" w:cs="Calibri"/>
          <w:b/>
          <w:bCs/>
          <w:color w:val="000000"/>
          <w:sz w:val="22"/>
          <w:szCs w:val="22"/>
        </w:rPr>
        <w:t xml:space="preserve">#3:  Each unit (OB, NICU, </w:t>
      </w:r>
      <w:r w:rsidR="008A3A32" w:rsidRPr="008A3A32">
        <w:rPr>
          <w:rFonts w:ascii="Calibri" w:hAnsi="Calibri" w:cs="Calibri"/>
          <w:b/>
          <w:bCs/>
          <w:color w:val="000000"/>
          <w:sz w:val="22"/>
          <w:szCs w:val="22"/>
        </w:rPr>
        <w:t>PP, Nursery) has implemented a protocol for collecting race and payor data for all birthing patients, collects self-reported data, and tracks and reviews missing data.</w:t>
      </w:r>
    </w:p>
    <w:p w14:paraId="02458F4E" w14:textId="77777777" w:rsidR="008A3A32" w:rsidRDefault="008A3A32" w:rsidP="000843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6E0DA1" w14:textId="77777777" w:rsidR="008A3A32" w:rsidRDefault="008A3A32" w:rsidP="008A3A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29B4346F" w14:textId="77777777" w:rsidR="008A3A32" w:rsidRDefault="008A3A32" w:rsidP="00C76E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C76E01" w14:paraId="6B093663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7125424" w14:textId="77777777" w:rsidR="00C76E01" w:rsidRPr="008C218D" w:rsidRDefault="00C76E01" w:rsidP="004D19EA">
            <w:r w:rsidRPr="008C218D">
              <w:t>Q1 2024</w:t>
            </w:r>
          </w:p>
        </w:tc>
        <w:tc>
          <w:tcPr>
            <w:tcW w:w="981" w:type="dxa"/>
          </w:tcPr>
          <w:p w14:paraId="4532DEF1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4B9F92AD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43CAC97E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55A0CE06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150CA190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209EBB93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048EBAF7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72A750EC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17D85A9C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6218C34C" w14:textId="77777777" w:rsidR="00C76E01" w:rsidRPr="008C218D" w:rsidRDefault="00C76E01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C76E01" w14:paraId="3F81E6FE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5B7876DD" w14:textId="77777777" w:rsidR="00C76E01" w:rsidRDefault="00C76E01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3774E2B7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A2A4593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2BBC9A1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9330C4A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66B54D1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EA198EA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8740B53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6E3191C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1473C96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4EC122C" w14:textId="77777777" w:rsidR="00C76E01" w:rsidRDefault="00C76E01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48A11794" w14:textId="77777777" w:rsidR="00C76E01" w:rsidRDefault="00C76E01" w:rsidP="00C76E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C40EEF" w14:textId="77777777" w:rsidR="00C76E01" w:rsidRDefault="00C76E01" w:rsidP="00C76E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FDCA40" w14:textId="60F6C2A8" w:rsidR="00C76E01" w:rsidRDefault="00AD3106" w:rsidP="00C76E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#4:  </w:t>
      </w:r>
      <w:r w:rsidR="00D34830">
        <w:rPr>
          <w:rFonts w:ascii="Calibri" w:hAnsi="Calibri" w:cs="Calibri"/>
          <w:b/>
          <w:bCs/>
          <w:color w:val="000000"/>
          <w:sz w:val="22"/>
          <w:szCs w:val="22"/>
        </w:rPr>
        <w:t>Hospital has implemented standardized social determinants of health screening tools in the electronic record for all pregnant women during delivery admission to link patients to needed resources and services.</w:t>
      </w:r>
    </w:p>
    <w:p w14:paraId="6FCDE019" w14:textId="77777777" w:rsidR="00D34830" w:rsidRDefault="00D34830" w:rsidP="00C76E0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D1CB78" w14:textId="77777777" w:rsidR="00D34830" w:rsidRDefault="00D34830" w:rsidP="00D348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153950839"/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bookmarkEnd w:id="1"/>
    <w:p w14:paraId="42670186" w14:textId="77777777" w:rsidR="00D34830" w:rsidRDefault="00D34830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D34830" w14:paraId="39A44DFF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EFC6E81" w14:textId="77777777" w:rsidR="00D34830" w:rsidRPr="008C218D" w:rsidRDefault="00D34830" w:rsidP="004D19EA">
            <w:bookmarkStart w:id="2" w:name="_Hlk153950851"/>
            <w:r w:rsidRPr="008C218D">
              <w:t>Q1 2024</w:t>
            </w:r>
          </w:p>
        </w:tc>
        <w:tc>
          <w:tcPr>
            <w:tcW w:w="981" w:type="dxa"/>
          </w:tcPr>
          <w:p w14:paraId="352844EC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64E8E786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5606FF0F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6573B432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22D4C286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573758C8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0155E327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56F7F142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00EF639F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7ACD8640" w14:textId="77777777" w:rsidR="00D34830" w:rsidRPr="008C218D" w:rsidRDefault="00D3483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D34830" w14:paraId="29BA1AF5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F5101AE" w14:textId="77777777" w:rsidR="00D34830" w:rsidRDefault="00D34830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11BA6C72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7DF0B2F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2BCE5A4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3C276B5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650C516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3A5CAD7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A6358AB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04D8BA9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9F3AFAF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4A78586" w14:textId="77777777" w:rsidR="00D34830" w:rsidRDefault="00D3483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bookmarkEnd w:id="2"/>
    </w:tbl>
    <w:p w14:paraId="48584FDB" w14:textId="77777777" w:rsidR="00D34830" w:rsidRDefault="00D34830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3D10229" w14:textId="77777777" w:rsidR="00D34830" w:rsidRDefault="00D34830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B670F1" w14:textId="0E0CE596" w:rsidR="004A2B77" w:rsidRDefault="004A2B77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#5:  Hospital has implemented a process to monitor if patients received the needed services identified through screening.</w:t>
      </w:r>
    </w:p>
    <w:p w14:paraId="175C8754" w14:textId="77777777" w:rsidR="004A2B77" w:rsidRDefault="004A2B77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9BA515" w14:textId="77777777" w:rsidR="004A2B77" w:rsidRDefault="004A2B77" w:rsidP="004A2B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18075DBA" w14:textId="77777777" w:rsidR="004A2B77" w:rsidRDefault="004A2B77" w:rsidP="004A2B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A2B77" w14:paraId="02ACCB1A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A3710BA" w14:textId="77777777" w:rsidR="004A2B77" w:rsidRPr="008C218D" w:rsidRDefault="004A2B77" w:rsidP="004D19EA">
            <w:bookmarkStart w:id="3" w:name="_Hlk153950928"/>
            <w:r w:rsidRPr="008C218D">
              <w:t>Q1 2024</w:t>
            </w:r>
          </w:p>
        </w:tc>
        <w:tc>
          <w:tcPr>
            <w:tcW w:w="981" w:type="dxa"/>
          </w:tcPr>
          <w:p w14:paraId="2D89A090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13E18ADC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4E98C588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55DEC14E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5DAAB170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7866094C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7D7FB339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270B9369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0222E6CF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0FFD4781" w14:textId="77777777" w:rsidR="004A2B77" w:rsidRPr="008C218D" w:rsidRDefault="004A2B77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4A2B77" w14:paraId="77882BC6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39F86782" w14:textId="77777777" w:rsidR="004A2B77" w:rsidRDefault="004A2B77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09A7AF83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104F170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5AEF5AF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414038F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ED940BE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F9590EA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7E53D52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06E443C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13C9CA5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D5240AF" w14:textId="77777777" w:rsidR="004A2B77" w:rsidRDefault="004A2B77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bookmarkEnd w:id="3"/>
    <w:p w14:paraId="2F259C57" w14:textId="2AF1ABF8" w:rsidR="004A2B77" w:rsidRDefault="00D65C00" w:rsidP="004A2B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#6</w:t>
      </w:r>
      <w:r w:rsidR="007563F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070EE">
        <w:rPr>
          <w:rFonts w:ascii="Calibri" w:hAnsi="Calibri" w:cs="Calibri"/>
          <w:b/>
          <w:bCs/>
          <w:color w:val="000000"/>
          <w:sz w:val="22"/>
          <w:szCs w:val="22"/>
        </w:rPr>
        <w:t>Hospital has implemented a strategy for incorporating discussions of social determinants of health and discrimination as potential factors in hospital maternal morbidity reviews.</w:t>
      </w:r>
    </w:p>
    <w:p w14:paraId="71C84DB3" w14:textId="77777777" w:rsidR="00D65C00" w:rsidRDefault="00D65C00" w:rsidP="004A2B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B10A73" w14:textId="77777777" w:rsidR="00D65C00" w:rsidRDefault="00D65C00" w:rsidP="00D65C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4" w:name="_Hlk153951094"/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bookmarkEnd w:id="4"/>
    <w:p w14:paraId="0CA65DA1" w14:textId="77777777" w:rsidR="00D65C00" w:rsidRDefault="00D65C00" w:rsidP="00D65C0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D65C00" w14:paraId="3D513E92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4091860" w14:textId="77777777" w:rsidR="00D65C00" w:rsidRPr="008C218D" w:rsidRDefault="00D65C00" w:rsidP="004D19EA">
            <w:r w:rsidRPr="008C218D">
              <w:t>Q1 2024</w:t>
            </w:r>
          </w:p>
        </w:tc>
        <w:tc>
          <w:tcPr>
            <w:tcW w:w="981" w:type="dxa"/>
          </w:tcPr>
          <w:p w14:paraId="1BF91B4F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3E9956A1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1B9D296B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774AB9EC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08CB7A97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012A9D0B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5AD76C96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156D9C2D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290D1595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7601C78C" w14:textId="77777777" w:rsidR="00D65C00" w:rsidRPr="008C218D" w:rsidRDefault="00D65C00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D65C00" w14:paraId="52BE47BA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0DA327D" w14:textId="77777777" w:rsidR="00D65C00" w:rsidRDefault="00D65C00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7DCFE23D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B272FAE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95CE0E2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B2BFA32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12A1D92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7BD0F81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B089AD0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427DF6C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8B3257A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BB17ABC" w14:textId="77777777" w:rsidR="00D65C00" w:rsidRDefault="00D65C00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2F02D5A5" w14:textId="77777777" w:rsidR="00D65C00" w:rsidRDefault="00D65C00" w:rsidP="00D65C0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1E3F49" w14:textId="77777777" w:rsidR="00DC67E9" w:rsidRDefault="00DC67E9" w:rsidP="00D65C0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3A014C" w14:textId="1E5398F3" w:rsidR="00D65C00" w:rsidRDefault="009415F3" w:rsidP="00D65C0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#7</w:t>
      </w:r>
      <w:r w:rsidR="007563F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DC67E9">
        <w:rPr>
          <w:rFonts w:ascii="Calibri" w:hAnsi="Calibri" w:cs="Calibri"/>
          <w:b/>
          <w:bCs/>
          <w:color w:val="000000"/>
          <w:sz w:val="22"/>
          <w:szCs w:val="22"/>
        </w:rPr>
        <w:t>Hospital has implemented a strategy for sharing expected respectful care practices with delivery staff and patients including appropriately engaging support partners and/or doulas.</w:t>
      </w:r>
    </w:p>
    <w:p w14:paraId="55217C28" w14:textId="77777777" w:rsidR="00D34830" w:rsidRDefault="00D34830" w:rsidP="00D348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414D8F" w14:textId="77777777" w:rsidR="00016F75" w:rsidRDefault="00016F75" w:rsidP="00016F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7DD72090" w14:textId="77777777" w:rsidR="00016F75" w:rsidRDefault="00016F75" w:rsidP="00016F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016F75" w14:paraId="54DB1868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6D70610" w14:textId="77777777" w:rsidR="00016F75" w:rsidRPr="008C218D" w:rsidRDefault="00016F75" w:rsidP="004D19EA">
            <w:r w:rsidRPr="008C218D">
              <w:t>Q1 2024</w:t>
            </w:r>
          </w:p>
        </w:tc>
        <w:tc>
          <w:tcPr>
            <w:tcW w:w="981" w:type="dxa"/>
          </w:tcPr>
          <w:p w14:paraId="52103EE5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5449C20A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2CA5D439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70CB5955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442F0EC9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5C570711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11B6ED0C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31B09EFB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5FCFD0CF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428A75EF" w14:textId="77777777" w:rsidR="00016F75" w:rsidRPr="008C218D" w:rsidRDefault="00016F75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016F75" w14:paraId="2F7302BA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4442BAA" w14:textId="77777777" w:rsidR="00016F75" w:rsidRDefault="00016F75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764C0972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5E1361CF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89C24BB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939EE4E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E77EE0C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9F3EF51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E30CFAB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19B936A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4872F724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D7FEB4E" w14:textId="77777777" w:rsidR="00016F75" w:rsidRDefault="00016F75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678124A8" w14:textId="77777777" w:rsidR="00016F75" w:rsidRDefault="00016F75" w:rsidP="00016F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91E6EC" w14:textId="77777777" w:rsidR="00016F75" w:rsidRDefault="00016F75" w:rsidP="00016F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54A843" w14:textId="38BBB5A9" w:rsidR="00016F75" w:rsidRDefault="00243674" w:rsidP="00016F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#8</w:t>
      </w:r>
      <w:r w:rsidR="007563F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Hospital has implemented a strategy to provide all patients the recommended postpartum safety patient education materials prior to hospital discharge, </w:t>
      </w:r>
      <w:r w:rsidR="00FC6DF5">
        <w:rPr>
          <w:rFonts w:ascii="Calibri" w:hAnsi="Calibri" w:cs="Calibri"/>
          <w:b/>
          <w:bCs/>
          <w:color w:val="000000"/>
          <w:sz w:val="22"/>
          <w:szCs w:val="22"/>
        </w:rPr>
        <w:t>including infant patient safety and urgent maternal warning signs, and where patients call for immediate help with concerns</w:t>
      </w:r>
      <w:r w:rsidR="00735EF3">
        <w:rPr>
          <w:rFonts w:ascii="Calibri" w:hAnsi="Calibri" w:cs="Calibri"/>
          <w:b/>
          <w:bCs/>
          <w:color w:val="000000"/>
          <w:sz w:val="22"/>
          <w:szCs w:val="22"/>
        </w:rPr>
        <w:t>, as well as scheduling early postpartum follow-up.</w:t>
      </w:r>
    </w:p>
    <w:p w14:paraId="29858539" w14:textId="77777777" w:rsidR="00735EF3" w:rsidRDefault="00735EF3" w:rsidP="00016F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93C506" w14:textId="77777777" w:rsidR="00DE05B9" w:rsidRDefault="00DE05B9" w:rsidP="00DE05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in 10% increments (0%, 10%, 20%, 30%, 40%, 50%, 60%, 70%, 80%, 90%, 100%)</w:t>
      </w:r>
    </w:p>
    <w:p w14:paraId="02A97CDE" w14:textId="076D0716" w:rsidR="00735EF3" w:rsidRDefault="00735EF3" w:rsidP="00DE05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DE05B9" w14:paraId="1297B18F" w14:textId="77777777" w:rsidTr="004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830AE43" w14:textId="77777777" w:rsidR="00DE05B9" w:rsidRPr="008C218D" w:rsidRDefault="00DE05B9" w:rsidP="004D19EA">
            <w:r w:rsidRPr="008C218D">
              <w:t>Q1 2024</w:t>
            </w:r>
          </w:p>
        </w:tc>
        <w:tc>
          <w:tcPr>
            <w:tcW w:w="981" w:type="dxa"/>
          </w:tcPr>
          <w:p w14:paraId="4E9A0067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2024</w:t>
            </w:r>
          </w:p>
        </w:tc>
        <w:tc>
          <w:tcPr>
            <w:tcW w:w="981" w:type="dxa"/>
          </w:tcPr>
          <w:p w14:paraId="050E54E0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2024</w:t>
            </w:r>
          </w:p>
        </w:tc>
        <w:tc>
          <w:tcPr>
            <w:tcW w:w="981" w:type="dxa"/>
          </w:tcPr>
          <w:p w14:paraId="11DAC69B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2024</w:t>
            </w:r>
          </w:p>
        </w:tc>
        <w:tc>
          <w:tcPr>
            <w:tcW w:w="981" w:type="dxa"/>
          </w:tcPr>
          <w:p w14:paraId="1101E8C0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2025</w:t>
            </w:r>
          </w:p>
        </w:tc>
        <w:tc>
          <w:tcPr>
            <w:tcW w:w="981" w:type="dxa"/>
          </w:tcPr>
          <w:p w14:paraId="114AC952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2025</w:t>
            </w:r>
          </w:p>
        </w:tc>
        <w:tc>
          <w:tcPr>
            <w:tcW w:w="981" w:type="dxa"/>
          </w:tcPr>
          <w:p w14:paraId="7D1A11C6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2025</w:t>
            </w:r>
          </w:p>
        </w:tc>
        <w:tc>
          <w:tcPr>
            <w:tcW w:w="981" w:type="dxa"/>
          </w:tcPr>
          <w:p w14:paraId="6C28C19A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Q4 2025</w:t>
            </w:r>
          </w:p>
        </w:tc>
        <w:tc>
          <w:tcPr>
            <w:tcW w:w="981" w:type="dxa"/>
          </w:tcPr>
          <w:p w14:paraId="729827B4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Q1 2026</w:t>
            </w:r>
          </w:p>
        </w:tc>
        <w:tc>
          <w:tcPr>
            <w:tcW w:w="981" w:type="dxa"/>
          </w:tcPr>
          <w:p w14:paraId="523820D9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Q2 2026</w:t>
            </w:r>
          </w:p>
        </w:tc>
        <w:tc>
          <w:tcPr>
            <w:tcW w:w="981" w:type="dxa"/>
          </w:tcPr>
          <w:p w14:paraId="4E50F36E" w14:textId="77777777" w:rsidR="00DE05B9" w:rsidRPr="008C218D" w:rsidRDefault="00DE05B9" w:rsidP="004D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218D">
              <w:t>Q3 2026</w:t>
            </w:r>
          </w:p>
        </w:tc>
      </w:tr>
      <w:tr w:rsidR="00DE05B9" w14:paraId="0F9094AE" w14:textId="77777777" w:rsidTr="004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0837252" w14:textId="77777777" w:rsidR="00DE05B9" w:rsidRDefault="00DE05B9" w:rsidP="004D19EA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81" w:type="dxa"/>
          </w:tcPr>
          <w:p w14:paraId="2DC5968C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02D3BC6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25AD646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61DB0FDF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BFCD30D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1D3968ED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3E7AFF59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0FA2DC77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75F0809E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981" w:type="dxa"/>
          </w:tcPr>
          <w:p w14:paraId="268320DD" w14:textId="77777777" w:rsidR="00DE05B9" w:rsidRDefault="00DE05B9" w:rsidP="004D1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51175BFC" w14:textId="77777777" w:rsidR="00DE05B9" w:rsidRDefault="00DE05B9" w:rsidP="00DE05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E49708" w14:textId="77777777" w:rsidR="00DE05B9" w:rsidRDefault="00DE05B9" w:rsidP="00DE05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733629" w14:textId="77777777" w:rsidR="00DE05B9" w:rsidRPr="008A3A32" w:rsidRDefault="00DE05B9" w:rsidP="00DE05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DE05B9" w:rsidRPr="008A3A32" w:rsidSect="00321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A43"/>
    <w:multiLevelType w:val="multilevel"/>
    <w:tmpl w:val="40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679A7"/>
    <w:multiLevelType w:val="multilevel"/>
    <w:tmpl w:val="AE5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56D08"/>
    <w:multiLevelType w:val="multilevel"/>
    <w:tmpl w:val="127C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303D6"/>
    <w:multiLevelType w:val="multilevel"/>
    <w:tmpl w:val="8FA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13424"/>
    <w:multiLevelType w:val="hybridMultilevel"/>
    <w:tmpl w:val="D018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74318">
    <w:abstractNumId w:val="4"/>
  </w:num>
  <w:num w:numId="2" w16cid:durableId="428737905">
    <w:abstractNumId w:val="1"/>
  </w:num>
  <w:num w:numId="3" w16cid:durableId="801771436">
    <w:abstractNumId w:val="3"/>
  </w:num>
  <w:num w:numId="4" w16cid:durableId="1748919019">
    <w:abstractNumId w:val="2"/>
  </w:num>
  <w:num w:numId="5" w16cid:durableId="188227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B2"/>
    <w:rsid w:val="00013C55"/>
    <w:rsid w:val="00016F75"/>
    <w:rsid w:val="000354D1"/>
    <w:rsid w:val="00084351"/>
    <w:rsid w:val="00094451"/>
    <w:rsid w:val="000D0D7F"/>
    <w:rsid w:val="000D7644"/>
    <w:rsid w:val="000E358C"/>
    <w:rsid w:val="000F7C5E"/>
    <w:rsid w:val="00147AF9"/>
    <w:rsid w:val="001718F0"/>
    <w:rsid w:val="002070EE"/>
    <w:rsid w:val="00231046"/>
    <w:rsid w:val="00243674"/>
    <w:rsid w:val="002558FB"/>
    <w:rsid w:val="002A08A9"/>
    <w:rsid w:val="003008F3"/>
    <w:rsid w:val="003215B2"/>
    <w:rsid w:val="00321C5C"/>
    <w:rsid w:val="003358EB"/>
    <w:rsid w:val="0035615D"/>
    <w:rsid w:val="00360DD4"/>
    <w:rsid w:val="0038060C"/>
    <w:rsid w:val="00380A9B"/>
    <w:rsid w:val="00384A2D"/>
    <w:rsid w:val="003A4232"/>
    <w:rsid w:val="003B4883"/>
    <w:rsid w:val="004175E4"/>
    <w:rsid w:val="00421C7C"/>
    <w:rsid w:val="0042491E"/>
    <w:rsid w:val="00443357"/>
    <w:rsid w:val="00444DCE"/>
    <w:rsid w:val="00457ED9"/>
    <w:rsid w:val="00491A25"/>
    <w:rsid w:val="004A2B77"/>
    <w:rsid w:val="004A7064"/>
    <w:rsid w:val="004E49E7"/>
    <w:rsid w:val="0057108C"/>
    <w:rsid w:val="00577D23"/>
    <w:rsid w:val="005D54E5"/>
    <w:rsid w:val="005E77C1"/>
    <w:rsid w:val="00602501"/>
    <w:rsid w:val="00611235"/>
    <w:rsid w:val="006272ED"/>
    <w:rsid w:val="006450F6"/>
    <w:rsid w:val="0065094F"/>
    <w:rsid w:val="00652CC0"/>
    <w:rsid w:val="006C1C79"/>
    <w:rsid w:val="00702A31"/>
    <w:rsid w:val="00735EF3"/>
    <w:rsid w:val="00751C66"/>
    <w:rsid w:val="007563FC"/>
    <w:rsid w:val="007637E9"/>
    <w:rsid w:val="007E1D6E"/>
    <w:rsid w:val="007E6602"/>
    <w:rsid w:val="008554A0"/>
    <w:rsid w:val="00855F7C"/>
    <w:rsid w:val="00856259"/>
    <w:rsid w:val="008A078F"/>
    <w:rsid w:val="008A3A32"/>
    <w:rsid w:val="008C218D"/>
    <w:rsid w:val="009415F3"/>
    <w:rsid w:val="00946EFF"/>
    <w:rsid w:val="00997DE6"/>
    <w:rsid w:val="009A3E8D"/>
    <w:rsid w:val="009A4403"/>
    <w:rsid w:val="009A72B0"/>
    <w:rsid w:val="00A225EF"/>
    <w:rsid w:val="00A962BE"/>
    <w:rsid w:val="00AA7A23"/>
    <w:rsid w:val="00AD3106"/>
    <w:rsid w:val="00B029A1"/>
    <w:rsid w:val="00B52E72"/>
    <w:rsid w:val="00B63679"/>
    <w:rsid w:val="00B72B31"/>
    <w:rsid w:val="00B90225"/>
    <w:rsid w:val="00BF5213"/>
    <w:rsid w:val="00C0202E"/>
    <w:rsid w:val="00C115AD"/>
    <w:rsid w:val="00C24577"/>
    <w:rsid w:val="00C76E01"/>
    <w:rsid w:val="00C8499E"/>
    <w:rsid w:val="00C875A5"/>
    <w:rsid w:val="00CA7C67"/>
    <w:rsid w:val="00CC4F40"/>
    <w:rsid w:val="00D15AA6"/>
    <w:rsid w:val="00D17361"/>
    <w:rsid w:val="00D34830"/>
    <w:rsid w:val="00D3602E"/>
    <w:rsid w:val="00D36091"/>
    <w:rsid w:val="00D65C00"/>
    <w:rsid w:val="00D81944"/>
    <w:rsid w:val="00D84A58"/>
    <w:rsid w:val="00DB4772"/>
    <w:rsid w:val="00DC67E9"/>
    <w:rsid w:val="00DC7137"/>
    <w:rsid w:val="00DE05B9"/>
    <w:rsid w:val="00DE18B3"/>
    <w:rsid w:val="00E371CA"/>
    <w:rsid w:val="00E5075B"/>
    <w:rsid w:val="00E62F96"/>
    <w:rsid w:val="00E739A4"/>
    <w:rsid w:val="00E85B33"/>
    <w:rsid w:val="00E86F48"/>
    <w:rsid w:val="00EB7282"/>
    <w:rsid w:val="00ED3705"/>
    <w:rsid w:val="00ED6EDB"/>
    <w:rsid w:val="00EE526C"/>
    <w:rsid w:val="00F54E2E"/>
    <w:rsid w:val="00F648C4"/>
    <w:rsid w:val="00FC6DF5"/>
    <w:rsid w:val="00FD1548"/>
    <w:rsid w:val="00FE019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9672"/>
  <w15:chartTrackingRefBased/>
  <w15:docId w15:val="{7D8D2AC4-BA7B-48D4-A6EB-5A232EC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215B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215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52E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52E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335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4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5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Wadley, Sharon Denise</dc:creator>
  <cp:keywords/>
  <dc:description/>
  <cp:lastModifiedBy>Wadley, Sharon D</cp:lastModifiedBy>
  <cp:revision>93</cp:revision>
  <dcterms:created xsi:type="dcterms:W3CDTF">2023-12-15T19:13:00Z</dcterms:created>
  <dcterms:modified xsi:type="dcterms:W3CDTF">2024-02-08T16:26:00Z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2023-12-01T15:16:29Z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66fa634e-3fe6-4842-87e4-0edcd0add3ea</vt:lpwstr>
  </property>
  <property fmtid="{D5CDD505-2E9C-101B-9397-08002B2CF9AE}" pid="8" name="MSIP_Label_792c8cef-6f2b-4af1-b4ac-d815ff795cd6_ContentBits">
    <vt:lpwstr>0</vt:lpwstr>
  </property>
</Properties>
</file>